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0"/>
        <w:gridCol w:w="3665"/>
        <w:gridCol w:w="10119"/>
      </w:tblGrid>
      <w:tr w:rsidR="0093285C" w:rsidRPr="00691D6D" w:rsidTr="00600B74">
        <w:trPr>
          <w:cantSplit/>
          <w:trHeight w:val="179"/>
          <w:tblHeader/>
          <w:jc w:val="center"/>
        </w:trPr>
        <w:tc>
          <w:tcPr>
            <w:tcW w:w="1830" w:type="dxa"/>
            <w:tcBorders>
              <w:bottom w:val="single" w:sz="4" w:space="0" w:color="auto"/>
            </w:tcBorders>
            <w:shd w:val="clear" w:color="auto" w:fill="BFBFBF" w:themeFill="background1" w:themeFillShade="BF"/>
            <w:vAlign w:val="center"/>
          </w:tcPr>
          <w:p w:rsidR="0093285C" w:rsidRPr="00580D07" w:rsidRDefault="00AE52ED" w:rsidP="00AE52ED">
            <w:pPr>
              <w:spacing w:after="0" w:line="240" w:lineRule="auto"/>
              <w:jc w:val="center"/>
              <w:rPr>
                <w:b/>
                <w:bCs/>
              </w:rPr>
            </w:pPr>
            <w:r w:rsidRPr="00580D07">
              <w:rPr>
                <w:b/>
                <w:bCs/>
              </w:rPr>
              <w:t>TWG</w:t>
            </w:r>
          </w:p>
        </w:tc>
        <w:tc>
          <w:tcPr>
            <w:tcW w:w="3665" w:type="dxa"/>
            <w:shd w:val="clear" w:color="auto" w:fill="BFBFBF" w:themeFill="background1" w:themeFillShade="BF"/>
            <w:vAlign w:val="center"/>
          </w:tcPr>
          <w:p w:rsidR="0093285C" w:rsidRPr="00691D6D" w:rsidRDefault="0010773C" w:rsidP="00691D6D">
            <w:pPr>
              <w:spacing w:after="0" w:line="240" w:lineRule="auto"/>
              <w:jc w:val="center"/>
              <w:rPr>
                <w:b/>
                <w:bCs/>
              </w:rPr>
            </w:pPr>
            <w:r w:rsidRPr="00691D6D">
              <w:rPr>
                <w:b/>
                <w:bCs/>
              </w:rPr>
              <w:t xml:space="preserve">TC SWAp </w:t>
            </w:r>
            <w:r w:rsidR="0093285C" w:rsidRPr="00691D6D">
              <w:rPr>
                <w:b/>
                <w:bCs/>
              </w:rPr>
              <w:t>MILESTONE 2013/14</w:t>
            </w:r>
          </w:p>
        </w:tc>
        <w:tc>
          <w:tcPr>
            <w:tcW w:w="10119" w:type="dxa"/>
            <w:shd w:val="clear" w:color="auto" w:fill="BFBFBF" w:themeFill="background1" w:themeFillShade="BF"/>
            <w:vAlign w:val="center"/>
          </w:tcPr>
          <w:p w:rsidR="0093285C" w:rsidRPr="00691D6D" w:rsidRDefault="002D0DAB" w:rsidP="002D0DAB">
            <w:pPr>
              <w:spacing w:after="0" w:line="240" w:lineRule="auto"/>
              <w:jc w:val="center"/>
              <w:rPr>
                <w:b/>
                <w:bCs/>
              </w:rPr>
            </w:pPr>
            <w:r>
              <w:rPr>
                <w:b/>
                <w:bCs/>
              </w:rPr>
              <w:t xml:space="preserve">Status </w:t>
            </w:r>
            <w:r w:rsidR="0010773C" w:rsidRPr="00691D6D">
              <w:rPr>
                <w:b/>
                <w:bCs/>
              </w:rPr>
              <w:t>Update</w:t>
            </w:r>
          </w:p>
        </w:tc>
      </w:tr>
      <w:tr w:rsidR="0035692F" w:rsidRPr="00580D07" w:rsidTr="006C6243">
        <w:trPr>
          <w:trHeight w:val="4680"/>
          <w:jc w:val="center"/>
        </w:trPr>
        <w:tc>
          <w:tcPr>
            <w:tcW w:w="1830" w:type="dxa"/>
            <w:vMerge w:val="restart"/>
            <w:shd w:val="clear" w:color="auto" w:fill="auto"/>
          </w:tcPr>
          <w:p w:rsidR="0035692F" w:rsidRPr="00580D07" w:rsidRDefault="0035692F" w:rsidP="00691D6D">
            <w:pPr>
              <w:spacing w:after="0" w:line="240" w:lineRule="auto"/>
              <w:rPr>
                <w:b/>
                <w:bCs/>
              </w:rPr>
            </w:pPr>
            <w:r w:rsidRPr="00580D07">
              <w:rPr>
                <w:b/>
                <w:bCs/>
              </w:rPr>
              <w:t>TWG 1</w:t>
            </w:r>
          </w:p>
          <w:p w:rsidR="0035692F" w:rsidRPr="00580D07" w:rsidRDefault="0035692F" w:rsidP="00691D6D">
            <w:pPr>
              <w:spacing w:after="0" w:line="240" w:lineRule="auto"/>
              <w:rPr>
                <w:b/>
                <w:bCs/>
              </w:rPr>
            </w:pPr>
            <w:r w:rsidRPr="00580D07">
              <w:rPr>
                <w:b/>
                <w:bCs/>
              </w:rPr>
              <w:t>Health Services</w:t>
            </w:r>
          </w:p>
        </w:tc>
        <w:tc>
          <w:tcPr>
            <w:tcW w:w="3665" w:type="dxa"/>
            <w:tcBorders>
              <w:bottom w:val="single" w:sz="4" w:space="0" w:color="auto"/>
            </w:tcBorders>
            <w:shd w:val="clear" w:color="auto" w:fill="auto"/>
          </w:tcPr>
          <w:p w:rsidR="0035692F" w:rsidRPr="00366C57" w:rsidRDefault="0035692F" w:rsidP="00691D6D">
            <w:pPr>
              <w:numPr>
                <w:ilvl w:val="0"/>
                <w:numId w:val="2"/>
              </w:numPr>
              <w:spacing w:after="0" w:line="240" w:lineRule="auto"/>
              <w:ind w:left="297"/>
              <w:rPr>
                <w:lang w:val="en-US"/>
              </w:rPr>
            </w:pPr>
            <w:r w:rsidRPr="00366C57">
              <w:t>Quality annual CCHP and implementation reports developed and timely submitted to the RS/RHMTs</w:t>
            </w:r>
          </w:p>
        </w:tc>
        <w:tc>
          <w:tcPr>
            <w:tcW w:w="10119" w:type="dxa"/>
            <w:tcBorders>
              <w:bottom w:val="single" w:sz="4" w:space="0" w:color="auto"/>
            </w:tcBorders>
            <w:shd w:val="clear" w:color="auto" w:fill="auto"/>
          </w:tcPr>
          <w:p w:rsidR="0035692F" w:rsidRDefault="0035692F" w:rsidP="008C4AD1">
            <w:pPr>
              <w:pStyle w:val="ListParagraph"/>
              <w:numPr>
                <w:ilvl w:val="0"/>
                <w:numId w:val="38"/>
              </w:numPr>
              <w:suppressAutoHyphens w:val="0"/>
              <w:spacing w:after="0" w:line="240" w:lineRule="auto"/>
              <w:jc w:val="both"/>
            </w:pPr>
            <w:r w:rsidRPr="00366C57">
              <w:t>Annual CCHP summary and analysis for 2013/2014 was presented in the TWG1 in July 2013 and the final report was presented in October 2013 at the JAHSR.</w:t>
            </w:r>
          </w:p>
          <w:p w:rsidR="0035692F" w:rsidRDefault="0035692F" w:rsidP="008C4AD1">
            <w:pPr>
              <w:pStyle w:val="ListParagraph"/>
              <w:numPr>
                <w:ilvl w:val="0"/>
                <w:numId w:val="38"/>
              </w:numPr>
              <w:suppressAutoHyphens w:val="0"/>
              <w:spacing w:after="0" w:line="240" w:lineRule="auto"/>
              <w:jc w:val="both"/>
            </w:pPr>
            <w:r w:rsidRPr="00366C57">
              <w:t xml:space="preserve">The training on CCHP planning guidelines and PlanRep3 Tools (PlanRep3 Micro and PlanRep3 Health Meso) was conducted to all RHMT members in March/April 2014, whereby 200 members were trained to raise the level of skills competence for RHMT to support the and assist the CHMTs in preparing and produce quality CCH plans, progress reports, CCHP summary analysis reports and assessing CCHPs and plans.  </w:t>
            </w:r>
          </w:p>
          <w:p w:rsidR="0035692F" w:rsidRDefault="0035692F" w:rsidP="008C4AD1">
            <w:pPr>
              <w:pStyle w:val="ListParagraph"/>
              <w:numPr>
                <w:ilvl w:val="0"/>
                <w:numId w:val="38"/>
              </w:numPr>
              <w:suppressAutoHyphens w:val="0"/>
              <w:spacing w:after="0" w:line="240" w:lineRule="auto"/>
              <w:jc w:val="both"/>
            </w:pPr>
            <w:r w:rsidRPr="00366C57">
              <w:t>PlanRep3 Health Meso for RHMT was developed and RHMTs were trained during the training conducted and they used it for assessment of the CCHP plans for 2014/2015 and prepared a summary analysis at the regional level.  The training of RHMTs was support by WHO, SDC and MOHSW financially.</w:t>
            </w:r>
          </w:p>
          <w:p w:rsidR="0035692F" w:rsidRDefault="0035692F" w:rsidP="008C4AD1">
            <w:pPr>
              <w:pStyle w:val="ListParagraph"/>
              <w:numPr>
                <w:ilvl w:val="0"/>
                <w:numId w:val="38"/>
              </w:numPr>
              <w:suppressAutoHyphens w:val="0"/>
              <w:spacing w:after="0" w:line="240" w:lineRule="auto"/>
              <w:jc w:val="both"/>
            </w:pPr>
            <w:r>
              <w:t>The RHMT training proceeding report recommendations was presented and discussed in the TWG1.   WHO supported printing of the proceedings which will be distributed to RHMT.</w:t>
            </w:r>
          </w:p>
          <w:p w:rsidR="0035692F" w:rsidRDefault="0035692F" w:rsidP="008C4AD1">
            <w:pPr>
              <w:pStyle w:val="ListParagraph"/>
              <w:numPr>
                <w:ilvl w:val="0"/>
                <w:numId w:val="38"/>
              </w:numPr>
              <w:suppressAutoHyphens w:val="0"/>
              <w:spacing w:after="0" w:line="240" w:lineRule="auto"/>
              <w:jc w:val="both"/>
            </w:pPr>
            <w:r w:rsidRPr="00366C57">
              <w:t>Quality annual CCHP 2014/ 2015 plans developed using revised CCHP guidelines and PlanRep3 and the summary analysis was presented to the BFC meeting held on 30</w:t>
            </w:r>
            <w:r w:rsidRPr="00366C57">
              <w:rPr>
                <w:vertAlign w:val="superscript"/>
              </w:rPr>
              <w:t>th</w:t>
            </w:r>
            <w:r w:rsidRPr="00366C57">
              <w:t xml:space="preserve"> June 2014, which were approved for funding.</w:t>
            </w:r>
          </w:p>
          <w:p w:rsidR="0035692F" w:rsidRDefault="0035692F" w:rsidP="008C4AD1">
            <w:pPr>
              <w:pStyle w:val="ListParagraph"/>
              <w:numPr>
                <w:ilvl w:val="0"/>
                <w:numId w:val="38"/>
              </w:numPr>
              <w:suppressAutoHyphens w:val="0"/>
              <w:spacing w:after="0" w:line="240" w:lineRule="auto"/>
              <w:jc w:val="both"/>
            </w:pPr>
            <w:r w:rsidRPr="00366C57">
              <w:t xml:space="preserve">Annual implementation report 2012/2013 also was presented at the BFC meeting including quarterly reports. This report was prepared using PlanRep3, </w:t>
            </w:r>
            <w:r>
              <w:t xml:space="preserve">the following reports from the PlanRep database system were generated: </w:t>
            </w:r>
            <w:r w:rsidRPr="00366C57">
              <w:t xml:space="preserve">Accounting Return, Carried over activities </w:t>
            </w:r>
            <w:r>
              <w:t>and funds</w:t>
            </w:r>
            <w:r w:rsidRPr="00366C57">
              <w:t>.</w:t>
            </w:r>
          </w:p>
          <w:p w:rsidR="0035692F" w:rsidRPr="00366C57" w:rsidRDefault="0035692F" w:rsidP="008C4AD1">
            <w:pPr>
              <w:pStyle w:val="ListParagraph"/>
              <w:suppressAutoHyphens w:val="0"/>
              <w:spacing w:after="0" w:line="240" w:lineRule="auto"/>
              <w:ind w:left="360"/>
              <w:jc w:val="both"/>
            </w:pPr>
          </w:p>
        </w:tc>
      </w:tr>
      <w:tr w:rsidR="0035692F" w:rsidRPr="00580D07" w:rsidTr="00803AA8">
        <w:trPr>
          <w:trHeight w:val="142"/>
          <w:jc w:val="center"/>
        </w:trPr>
        <w:tc>
          <w:tcPr>
            <w:tcW w:w="1830" w:type="dxa"/>
            <w:vMerge/>
            <w:tcBorders>
              <w:bottom w:val="nil"/>
            </w:tcBorders>
            <w:shd w:val="clear" w:color="auto" w:fill="auto"/>
          </w:tcPr>
          <w:p w:rsidR="0035692F" w:rsidRPr="00580D07" w:rsidRDefault="0035692F" w:rsidP="00691D6D">
            <w:pPr>
              <w:spacing w:after="0" w:line="240" w:lineRule="auto"/>
              <w:rPr>
                <w:b/>
                <w:bCs/>
              </w:rPr>
            </w:pPr>
          </w:p>
        </w:tc>
        <w:tc>
          <w:tcPr>
            <w:tcW w:w="3665" w:type="dxa"/>
            <w:tcBorders>
              <w:bottom w:val="nil"/>
            </w:tcBorders>
            <w:shd w:val="clear" w:color="auto" w:fill="auto"/>
          </w:tcPr>
          <w:p w:rsidR="0035692F" w:rsidRPr="00366C57" w:rsidRDefault="0035692F" w:rsidP="0035692F"/>
        </w:tc>
        <w:tc>
          <w:tcPr>
            <w:tcW w:w="10119" w:type="dxa"/>
            <w:tcBorders>
              <w:bottom w:val="nil"/>
            </w:tcBorders>
            <w:shd w:val="clear" w:color="auto" w:fill="auto"/>
          </w:tcPr>
          <w:p w:rsidR="0035692F" w:rsidRPr="00366C57" w:rsidRDefault="0035692F" w:rsidP="0035692F">
            <w:pPr>
              <w:jc w:val="both"/>
            </w:pPr>
          </w:p>
        </w:tc>
      </w:tr>
      <w:tr w:rsidR="008C4AD1" w:rsidRPr="00580D07" w:rsidTr="00803AA8">
        <w:trPr>
          <w:trHeight w:val="540"/>
          <w:jc w:val="center"/>
        </w:trPr>
        <w:tc>
          <w:tcPr>
            <w:tcW w:w="1830" w:type="dxa"/>
            <w:tcBorders>
              <w:top w:val="nil"/>
              <w:bottom w:val="single" w:sz="4" w:space="0" w:color="auto"/>
            </w:tcBorders>
            <w:shd w:val="clear" w:color="auto" w:fill="auto"/>
          </w:tcPr>
          <w:p w:rsidR="008C4AD1" w:rsidRPr="00580D07" w:rsidRDefault="008C4AD1" w:rsidP="00691D6D">
            <w:pPr>
              <w:spacing w:after="0" w:line="240" w:lineRule="auto"/>
              <w:rPr>
                <w:b/>
                <w:bCs/>
              </w:rPr>
            </w:pPr>
          </w:p>
        </w:tc>
        <w:tc>
          <w:tcPr>
            <w:tcW w:w="3665" w:type="dxa"/>
            <w:tcBorders>
              <w:top w:val="nil"/>
            </w:tcBorders>
            <w:shd w:val="clear" w:color="auto" w:fill="auto"/>
          </w:tcPr>
          <w:p w:rsidR="008C4AD1" w:rsidRPr="00366C57" w:rsidRDefault="008C4AD1" w:rsidP="00935558">
            <w:pPr>
              <w:numPr>
                <w:ilvl w:val="0"/>
                <w:numId w:val="2"/>
              </w:numPr>
              <w:spacing w:after="0" w:line="240" w:lineRule="auto"/>
              <w:ind w:left="297"/>
              <w:rPr>
                <w:lang w:val="en-US"/>
              </w:rPr>
            </w:pPr>
            <w:r w:rsidRPr="00366C57">
              <w:t xml:space="preserve">Timely and quality summary and analysis of CCH plans and reports developed.   </w:t>
            </w:r>
          </w:p>
        </w:tc>
        <w:tc>
          <w:tcPr>
            <w:tcW w:w="10119" w:type="dxa"/>
            <w:tcBorders>
              <w:top w:val="nil"/>
            </w:tcBorders>
            <w:shd w:val="clear" w:color="auto" w:fill="auto"/>
          </w:tcPr>
          <w:p w:rsidR="008C4AD1" w:rsidRDefault="008C4AD1" w:rsidP="008C4AD1">
            <w:pPr>
              <w:pStyle w:val="ListParagraph"/>
              <w:numPr>
                <w:ilvl w:val="0"/>
                <w:numId w:val="39"/>
              </w:numPr>
              <w:suppressAutoHyphens w:val="0"/>
              <w:spacing w:after="0" w:line="240" w:lineRule="auto"/>
              <w:jc w:val="both"/>
            </w:pPr>
            <w:r w:rsidRPr="00366C57">
              <w:t xml:space="preserve">Summary </w:t>
            </w:r>
            <w:r>
              <w:t>analysis of CCHP 2013/2014</w:t>
            </w:r>
            <w:r w:rsidRPr="00366C57">
              <w:t xml:space="preserve"> was submitted to BFC meeting held on</w:t>
            </w:r>
            <w:r>
              <w:t xml:space="preserve"> August 2013</w:t>
            </w:r>
            <w:r w:rsidRPr="00366C57">
              <w:t xml:space="preserve"> and was approved for funding. </w:t>
            </w:r>
          </w:p>
          <w:p w:rsidR="008C4AD1" w:rsidRDefault="008C4AD1" w:rsidP="008C4AD1">
            <w:pPr>
              <w:pStyle w:val="ListParagraph"/>
              <w:numPr>
                <w:ilvl w:val="0"/>
                <w:numId w:val="39"/>
              </w:numPr>
              <w:suppressAutoHyphens w:val="0"/>
              <w:spacing w:after="0" w:line="240" w:lineRule="auto"/>
              <w:jc w:val="both"/>
            </w:pPr>
            <w:r>
              <w:t xml:space="preserve">The completed Implementation report for CCHP 2012/13 was submitted in May 2014 compared to the expected submission by December 2013. </w:t>
            </w:r>
          </w:p>
          <w:p w:rsidR="008C4AD1" w:rsidRDefault="008C4AD1" w:rsidP="008C4AD1">
            <w:pPr>
              <w:pStyle w:val="ListParagraph"/>
              <w:numPr>
                <w:ilvl w:val="0"/>
                <w:numId w:val="39"/>
              </w:numPr>
              <w:suppressAutoHyphens w:val="0"/>
              <w:spacing w:after="0" w:line="240" w:lineRule="auto"/>
              <w:jc w:val="both"/>
            </w:pPr>
            <w:r w:rsidRPr="00366C57">
              <w:t xml:space="preserve">The detailed data interpretation of the summary analysis of CCHP 2014/2015 </w:t>
            </w:r>
            <w:r>
              <w:t>completed, shared with TWG1 members and will be discussed in the JAHSR- TRM</w:t>
            </w:r>
            <w:r w:rsidRPr="00366C57">
              <w:t>.</w:t>
            </w:r>
            <w:r>
              <w:t xml:space="preserve"> </w:t>
            </w:r>
          </w:p>
          <w:p w:rsidR="008C4AD1" w:rsidRPr="00366C57" w:rsidRDefault="008C4AD1" w:rsidP="008C4AD1">
            <w:pPr>
              <w:pStyle w:val="ListParagraph"/>
              <w:numPr>
                <w:ilvl w:val="0"/>
                <w:numId w:val="39"/>
              </w:numPr>
              <w:suppressAutoHyphens w:val="0"/>
              <w:spacing w:after="0" w:line="240" w:lineRule="auto"/>
              <w:jc w:val="both"/>
            </w:pPr>
            <w:r>
              <w:t xml:space="preserve">RHMT are supporting CHMTs in finalizing the annual CHP 2013/2014 implementation reports. </w:t>
            </w:r>
          </w:p>
        </w:tc>
      </w:tr>
    </w:tbl>
    <w:p w:rsidR="00600B74" w:rsidRDefault="00600B74">
      <w:r>
        <w:br w:type="page"/>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0"/>
        <w:gridCol w:w="3665"/>
        <w:gridCol w:w="10119"/>
      </w:tblGrid>
      <w:tr w:rsidR="002766F2" w:rsidRPr="00691D6D" w:rsidTr="00947346">
        <w:trPr>
          <w:cantSplit/>
          <w:trHeight w:val="179"/>
          <w:tblHeader/>
          <w:jc w:val="center"/>
        </w:trPr>
        <w:tc>
          <w:tcPr>
            <w:tcW w:w="1830" w:type="dxa"/>
            <w:tcBorders>
              <w:bottom w:val="single" w:sz="4" w:space="0" w:color="auto"/>
            </w:tcBorders>
            <w:shd w:val="clear" w:color="auto" w:fill="BFBFBF" w:themeFill="background1" w:themeFillShade="BF"/>
            <w:vAlign w:val="center"/>
          </w:tcPr>
          <w:p w:rsidR="002766F2" w:rsidRPr="00580D07" w:rsidRDefault="002766F2" w:rsidP="00947346">
            <w:pPr>
              <w:spacing w:after="0" w:line="240" w:lineRule="auto"/>
              <w:jc w:val="center"/>
              <w:rPr>
                <w:b/>
                <w:bCs/>
              </w:rPr>
            </w:pPr>
            <w:r w:rsidRPr="00580D07">
              <w:rPr>
                <w:b/>
                <w:bCs/>
              </w:rPr>
              <w:lastRenderedPageBreak/>
              <w:t>TWG</w:t>
            </w:r>
          </w:p>
        </w:tc>
        <w:tc>
          <w:tcPr>
            <w:tcW w:w="3665" w:type="dxa"/>
            <w:shd w:val="clear" w:color="auto" w:fill="BFBFBF" w:themeFill="background1" w:themeFillShade="BF"/>
            <w:vAlign w:val="center"/>
          </w:tcPr>
          <w:p w:rsidR="002766F2" w:rsidRPr="00691D6D" w:rsidRDefault="002766F2" w:rsidP="00947346">
            <w:pPr>
              <w:spacing w:after="0" w:line="240" w:lineRule="auto"/>
              <w:jc w:val="center"/>
              <w:rPr>
                <w:b/>
                <w:bCs/>
              </w:rPr>
            </w:pPr>
            <w:r w:rsidRPr="00691D6D">
              <w:rPr>
                <w:b/>
                <w:bCs/>
              </w:rPr>
              <w:t>TC SWAp MILESTONE 2013/14</w:t>
            </w:r>
          </w:p>
        </w:tc>
        <w:tc>
          <w:tcPr>
            <w:tcW w:w="10119" w:type="dxa"/>
            <w:shd w:val="clear" w:color="auto" w:fill="BFBFBF" w:themeFill="background1" w:themeFillShade="BF"/>
            <w:vAlign w:val="center"/>
          </w:tcPr>
          <w:p w:rsidR="002766F2" w:rsidRPr="00691D6D" w:rsidRDefault="002766F2" w:rsidP="00947346">
            <w:pPr>
              <w:spacing w:after="0" w:line="240" w:lineRule="auto"/>
              <w:jc w:val="center"/>
              <w:rPr>
                <w:b/>
                <w:bCs/>
              </w:rPr>
            </w:pPr>
            <w:r>
              <w:rPr>
                <w:b/>
                <w:bCs/>
              </w:rPr>
              <w:t xml:space="preserve">Status </w:t>
            </w:r>
            <w:r w:rsidRPr="00691D6D">
              <w:rPr>
                <w:b/>
                <w:bCs/>
              </w:rPr>
              <w:t>Update</w:t>
            </w:r>
          </w:p>
        </w:tc>
      </w:tr>
      <w:tr w:rsidR="0093285C" w:rsidRPr="00580D07" w:rsidTr="00803AA8">
        <w:trPr>
          <w:trHeight w:val="620"/>
          <w:jc w:val="center"/>
        </w:trPr>
        <w:tc>
          <w:tcPr>
            <w:tcW w:w="1830" w:type="dxa"/>
            <w:tcBorders>
              <w:bottom w:val="single" w:sz="4" w:space="0" w:color="auto"/>
            </w:tcBorders>
            <w:shd w:val="clear" w:color="auto" w:fill="auto"/>
          </w:tcPr>
          <w:p w:rsidR="0093285C" w:rsidRPr="00580D07" w:rsidRDefault="0093285C" w:rsidP="00691D6D">
            <w:pPr>
              <w:spacing w:after="0" w:line="240" w:lineRule="auto"/>
              <w:rPr>
                <w:b/>
                <w:bCs/>
              </w:rPr>
            </w:pPr>
            <w:r w:rsidRPr="00580D07">
              <w:rPr>
                <w:b/>
                <w:bCs/>
              </w:rPr>
              <w:t>TWG 2</w:t>
            </w:r>
          </w:p>
          <w:p w:rsidR="0093285C" w:rsidRPr="00580D07" w:rsidRDefault="0093285C" w:rsidP="00691D6D">
            <w:pPr>
              <w:spacing w:after="0" w:line="240" w:lineRule="auto"/>
              <w:rPr>
                <w:b/>
                <w:bCs/>
              </w:rPr>
            </w:pPr>
            <w:r w:rsidRPr="00580D07">
              <w:rPr>
                <w:b/>
                <w:bCs/>
              </w:rPr>
              <w:t xml:space="preserve">Human </w:t>
            </w:r>
            <w:r w:rsidR="0010773C" w:rsidRPr="00580D07">
              <w:rPr>
                <w:b/>
                <w:bCs/>
              </w:rPr>
              <w:t>RH</w:t>
            </w:r>
          </w:p>
        </w:tc>
        <w:tc>
          <w:tcPr>
            <w:tcW w:w="3665" w:type="dxa"/>
            <w:shd w:val="clear" w:color="auto" w:fill="auto"/>
          </w:tcPr>
          <w:p w:rsidR="0093285C" w:rsidRPr="00580D07" w:rsidRDefault="0093285C" w:rsidP="00691D6D">
            <w:pPr>
              <w:numPr>
                <w:ilvl w:val="0"/>
                <w:numId w:val="2"/>
              </w:numPr>
              <w:spacing w:after="0" w:line="240" w:lineRule="auto"/>
              <w:ind w:left="297"/>
              <w:rPr>
                <w:lang w:val="en-US"/>
              </w:rPr>
            </w:pPr>
            <w:r w:rsidRPr="00580D07">
              <w:rPr>
                <w:lang w:val="en-US"/>
              </w:rPr>
              <w:t xml:space="preserve">Improvement in availability of reliable data on existing inter-district disparity in availability of professional health staff </w:t>
            </w:r>
          </w:p>
        </w:tc>
        <w:tc>
          <w:tcPr>
            <w:tcW w:w="10119" w:type="dxa"/>
            <w:shd w:val="clear" w:color="auto" w:fill="auto"/>
          </w:tcPr>
          <w:p w:rsidR="00130365" w:rsidRPr="00130365" w:rsidRDefault="00130365" w:rsidP="00DE247F">
            <w:pPr>
              <w:numPr>
                <w:ilvl w:val="0"/>
                <w:numId w:val="32"/>
              </w:numPr>
              <w:spacing w:after="0" w:line="240" w:lineRule="auto"/>
              <w:ind w:left="360"/>
              <w:jc w:val="both"/>
            </w:pPr>
            <w:r w:rsidRPr="00130365">
              <w:rPr>
                <w:lang w:val="en-US"/>
              </w:rPr>
              <w:t>By the end of June 2014more than 64,240 records have been collected and submitted to the Ministry server, compared to 2012/2013, whereby by the end of June, around 42,931 records were in the systems. Up to September 2014, there were 70,244 records in the HRHIS. The records from the public facilities and institutions is 54,627, Private for Profit 1,547 records entered and 14,070 is for Faith Based organization facilities.</w:t>
            </w:r>
          </w:p>
          <w:p w:rsidR="0093285C" w:rsidRPr="001B12FF" w:rsidRDefault="00130365" w:rsidP="00130365">
            <w:pPr>
              <w:numPr>
                <w:ilvl w:val="0"/>
                <w:numId w:val="32"/>
              </w:numPr>
              <w:spacing w:after="0" w:line="240" w:lineRule="auto"/>
              <w:ind w:left="357" w:hanging="357"/>
              <w:contextualSpacing/>
              <w:jc w:val="both"/>
            </w:pPr>
            <w:r w:rsidRPr="00130365">
              <w:t>In the HRHIS data entry, the number of Region has gone down from 10 regions which had less than 80% coverage  to only one  region (Mara region) which has 77%</w:t>
            </w:r>
            <w:bookmarkStart w:id="0" w:name="_GoBack"/>
            <w:bookmarkEnd w:id="0"/>
            <w:r w:rsidRPr="00130365">
              <w:t xml:space="preserve">  data coverage</w:t>
            </w:r>
          </w:p>
        </w:tc>
      </w:tr>
    </w:tbl>
    <w:p w:rsidR="00600B74" w:rsidRDefault="00600B74">
      <w:r>
        <w:br w:type="page"/>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0"/>
        <w:gridCol w:w="3665"/>
        <w:gridCol w:w="10119"/>
      </w:tblGrid>
      <w:tr w:rsidR="002766F2" w:rsidRPr="00691D6D" w:rsidTr="00947346">
        <w:trPr>
          <w:cantSplit/>
          <w:trHeight w:val="179"/>
          <w:tblHeader/>
          <w:jc w:val="center"/>
        </w:trPr>
        <w:tc>
          <w:tcPr>
            <w:tcW w:w="1830" w:type="dxa"/>
            <w:tcBorders>
              <w:bottom w:val="single" w:sz="4" w:space="0" w:color="auto"/>
            </w:tcBorders>
            <w:shd w:val="clear" w:color="auto" w:fill="BFBFBF" w:themeFill="background1" w:themeFillShade="BF"/>
            <w:vAlign w:val="center"/>
          </w:tcPr>
          <w:p w:rsidR="002766F2" w:rsidRPr="00580D07" w:rsidRDefault="002766F2" w:rsidP="00947346">
            <w:pPr>
              <w:spacing w:after="0" w:line="240" w:lineRule="auto"/>
              <w:jc w:val="center"/>
              <w:rPr>
                <w:b/>
                <w:bCs/>
              </w:rPr>
            </w:pPr>
            <w:r w:rsidRPr="00580D07">
              <w:rPr>
                <w:b/>
                <w:bCs/>
              </w:rPr>
              <w:lastRenderedPageBreak/>
              <w:t>TWG</w:t>
            </w:r>
          </w:p>
        </w:tc>
        <w:tc>
          <w:tcPr>
            <w:tcW w:w="3665" w:type="dxa"/>
            <w:shd w:val="clear" w:color="auto" w:fill="BFBFBF" w:themeFill="background1" w:themeFillShade="BF"/>
            <w:vAlign w:val="center"/>
          </w:tcPr>
          <w:p w:rsidR="002766F2" w:rsidRPr="00691D6D" w:rsidRDefault="002766F2" w:rsidP="00947346">
            <w:pPr>
              <w:spacing w:after="0" w:line="240" w:lineRule="auto"/>
              <w:jc w:val="center"/>
              <w:rPr>
                <w:b/>
                <w:bCs/>
              </w:rPr>
            </w:pPr>
            <w:r w:rsidRPr="00691D6D">
              <w:rPr>
                <w:b/>
                <w:bCs/>
              </w:rPr>
              <w:t>TC SWAp MILESTONE 2013/14</w:t>
            </w:r>
          </w:p>
        </w:tc>
        <w:tc>
          <w:tcPr>
            <w:tcW w:w="10119" w:type="dxa"/>
            <w:shd w:val="clear" w:color="auto" w:fill="BFBFBF" w:themeFill="background1" w:themeFillShade="BF"/>
            <w:vAlign w:val="center"/>
          </w:tcPr>
          <w:p w:rsidR="002766F2" w:rsidRPr="00691D6D" w:rsidRDefault="002766F2" w:rsidP="00947346">
            <w:pPr>
              <w:spacing w:after="0" w:line="240" w:lineRule="auto"/>
              <w:jc w:val="center"/>
              <w:rPr>
                <w:b/>
                <w:bCs/>
              </w:rPr>
            </w:pPr>
            <w:r>
              <w:rPr>
                <w:b/>
                <w:bCs/>
              </w:rPr>
              <w:t xml:space="preserve">Status </w:t>
            </w:r>
            <w:r w:rsidRPr="00691D6D">
              <w:rPr>
                <w:b/>
                <w:bCs/>
              </w:rPr>
              <w:t>Update</w:t>
            </w:r>
          </w:p>
        </w:tc>
      </w:tr>
      <w:tr w:rsidR="00C06127" w:rsidRPr="00580D07" w:rsidTr="00803AA8">
        <w:trPr>
          <w:trHeight w:val="953"/>
          <w:jc w:val="center"/>
        </w:trPr>
        <w:tc>
          <w:tcPr>
            <w:tcW w:w="1830" w:type="dxa"/>
            <w:tcBorders>
              <w:bottom w:val="single" w:sz="4" w:space="0" w:color="auto"/>
            </w:tcBorders>
            <w:shd w:val="clear" w:color="auto" w:fill="auto"/>
          </w:tcPr>
          <w:p w:rsidR="00C06127" w:rsidRPr="00580D07" w:rsidRDefault="00C06127" w:rsidP="00C06127">
            <w:pPr>
              <w:spacing w:after="0" w:line="240" w:lineRule="auto"/>
              <w:rPr>
                <w:b/>
                <w:bCs/>
              </w:rPr>
            </w:pPr>
            <w:r w:rsidRPr="00580D07">
              <w:rPr>
                <w:b/>
                <w:bCs/>
              </w:rPr>
              <w:t>TWG 3</w:t>
            </w:r>
          </w:p>
          <w:p w:rsidR="00C06127" w:rsidRPr="00580D07" w:rsidRDefault="00C06127" w:rsidP="00C06127">
            <w:pPr>
              <w:spacing w:after="0" w:line="240" w:lineRule="auto"/>
              <w:rPr>
                <w:b/>
                <w:bCs/>
              </w:rPr>
            </w:pPr>
            <w:r w:rsidRPr="00580D07">
              <w:rPr>
                <w:b/>
                <w:bCs/>
              </w:rPr>
              <w:t>Health Care Financing</w:t>
            </w:r>
          </w:p>
        </w:tc>
        <w:tc>
          <w:tcPr>
            <w:tcW w:w="3665" w:type="dxa"/>
            <w:shd w:val="clear" w:color="auto" w:fill="auto"/>
          </w:tcPr>
          <w:p w:rsidR="00C06127" w:rsidRPr="00580D07" w:rsidRDefault="00C06127" w:rsidP="00C06127">
            <w:pPr>
              <w:numPr>
                <w:ilvl w:val="0"/>
                <w:numId w:val="2"/>
              </w:numPr>
              <w:spacing w:after="0" w:line="240" w:lineRule="auto"/>
              <w:ind w:left="297"/>
              <w:rPr>
                <w:lang w:val="en-US"/>
              </w:rPr>
            </w:pPr>
            <w:r w:rsidRPr="00580D07">
              <w:t>Complete the review of various resource allocation formulae for LGA funding, and apply updated formula to non-salary funding for FY 2014/15 in order to reduce inter-district disparity in per capita spending on health services – by April 2014</w:t>
            </w:r>
          </w:p>
        </w:tc>
        <w:tc>
          <w:tcPr>
            <w:tcW w:w="10119" w:type="dxa"/>
            <w:shd w:val="clear" w:color="auto" w:fill="auto"/>
          </w:tcPr>
          <w:p w:rsidR="00C06127" w:rsidRPr="00DE247F" w:rsidRDefault="00C06127" w:rsidP="00DE247F">
            <w:pPr>
              <w:numPr>
                <w:ilvl w:val="0"/>
                <w:numId w:val="10"/>
              </w:numPr>
              <w:spacing w:after="0" w:line="240" w:lineRule="auto"/>
              <w:ind w:left="317" w:hanging="317"/>
              <w:rPr>
                <w:b/>
              </w:rPr>
            </w:pPr>
            <w:r w:rsidRPr="00DE247F">
              <w:rPr>
                <w:rFonts w:cs="Arial"/>
              </w:rPr>
              <w:t>Working group formed with staff from MOHSW (HFU, Coordinator DHS, PSS), PMO-RALG, MOF, and DPs (Danida, GIZ)</w:t>
            </w:r>
          </w:p>
          <w:p w:rsidR="00C06127" w:rsidRPr="00DE247F" w:rsidRDefault="00C06127" w:rsidP="00DE247F">
            <w:pPr>
              <w:numPr>
                <w:ilvl w:val="0"/>
                <w:numId w:val="10"/>
              </w:numPr>
              <w:spacing w:after="0" w:line="240" w:lineRule="auto"/>
              <w:ind w:left="317" w:hanging="317"/>
            </w:pPr>
            <w:r w:rsidRPr="00DE247F">
              <w:t xml:space="preserve">TOR completed </w:t>
            </w:r>
          </w:p>
          <w:p w:rsidR="00C06127" w:rsidRPr="00DE247F" w:rsidRDefault="00C06127" w:rsidP="00DE247F">
            <w:pPr>
              <w:numPr>
                <w:ilvl w:val="0"/>
                <w:numId w:val="10"/>
              </w:numPr>
              <w:spacing w:after="0" w:line="240" w:lineRule="auto"/>
              <w:ind w:left="317" w:hanging="317"/>
            </w:pPr>
            <w:r w:rsidRPr="00DE247F">
              <w:t>Jamie Boex (Urban Institute) and Selemani Omari (Innovex) contracted through Danida from January 2013.</w:t>
            </w:r>
          </w:p>
          <w:p w:rsidR="00C06127" w:rsidRPr="00DE247F" w:rsidRDefault="00C06127" w:rsidP="00DE247F">
            <w:pPr>
              <w:numPr>
                <w:ilvl w:val="0"/>
                <w:numId w:val="10"/>
              </w:numPr>
              <w:spacing w:after="0" w:line="240" w:lineRule="auto"/>
              <w:ind w:left="317" w:hanging="317"/>
            </w:pPr>
            <w:r w:rsidRPr="00DE247F">
              <w:t>Draft report submitted Jan 2013; final report submitted June 2013.</w:t>
            </w:r>
          </w:p>
          <w:p w:rsidR="00C06127" w:rsidRPr="00DE247F" w:rsidRDefault="00C06127" w:rsidP="00DE247F">
            <w:pPr>
              <w:numPr>
                <w:ilvl w:val="0"/>
                <w:numId w:val="10"/>
              </w:numPr>
              <w:spacing w:after="0" w:line="240" w:lineRule="auto"/>
              <w:ind w:left="317" w:hanging="317"/>
            </w:pPr>
            <w:r w:rsidRPr="00DE247F">
              <w:t>Updated formula and proposal for FY 2014/15 presented to Senior Management 4</w:t>
            </w:r>
            <w:r w:rsidRPr="00DE247F">
              <w:rPr>
                <w:vertAlign w:val="superscript"/>
              </w:rPr>
              <w:t>th</w:t>
            </w:r>
            <w:r w:rsidRPr="00DE247F">
              <w:t xml:space="preserve"> Feb, BFC 6</w:t>
            </w:r>
            <w:r w:rsidRPr="00DE247F">
              <w:rPr>
                <w:vertAlign w:val="superscript"/>
              </w:rPr>
              <w:t>th</w:t>
            </w:r>
            <w:r w:rsidRPr="00DE247F">
              <w:t xml:space="preserve"> Feb, and TC SWAp 3</w:t>
            </w:r>
            <w:r w:rsidRPr="00DE247F">
              <w:rPr>
                <w:vertAlign w:val="superscript"/>
              </w:rPr>
              <w:t>rd</w:t>
            </w:r>
            <w:r w:rsidRPr="00DE247F">
              <w:t xml:space="preserve"> March.  </w:t>
            </w:r>
          </w:p>
          <w:p w:rsidR="00C06127" w:rsidRPr="00DE247F" w:rsidRDefault="00C06127" w:rsidP="00DE247F">
            <w:pPr>
              <w:numPr>
                <w:ilvl w:val="0"/>
                <w:numId w:val="10"/>
              </w:numPr>
              <w:spacing w:after="0" w:line="240" w:lineRule="auto"/>
              <w:ind w:left="317" w:hanging="317"/>
            </w:pPr>
            <w:r w:rsidRPr="00DE247F">
              <w:t xml:space="preserve">Formula accepted for HBF with modifications to the weights given to population and capped land area.  Not applied to OC. </w:t>
            </w:r>
          </w:p>
          <w:p w:rsidR="00C06127" w:rsidRPr="004224D2" w:rsidRDefault="00C06127" w:rsidP="00DE247F">
            <w:pPr>
              <w:numPr>
                <w:ilvl w:val="0"/>
                <w:numId w:val="10"/>
              </w:numPr>
              <w:spacing w:after="0" w:line="240" w:lineRule="auto"/>
              <w:ind w:left="317" w:hanging="317"/>
              <w:rPr>
                <w:sz w:val="20"/>
                <w:szCs w:val="20"/>
              </w:rPr>
            </w:pPr>
            <w:r w:rsidRPr="00DE247F">
              <w:t>Overtaken by events.  Consultative process underway with MOF and PMO-RALG, initiated under PFMRP (Sep 14).  MOHSW to adopt findings of that process.</w:t>
            </w:r>
            <w:r>
              <w:rPr>
                <w:sz w:val="20"/>
                <w:szCs w:val="20"/>
              </w:rPr>
              <w:t xml:space="preserve"> </w:t>
            </w:r>
          </w:p>
        </w:tc>
      </w:tr>
    </w:tbl>
    <w:p w:rsidR="00600B74" w:rsidRDefault="00600B74">
      <w:r>
        <w:br w:type="page"/>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0"/>
        <w:gridCol w:w="3665"/>
        <w:gridCol w:w="10119"/>
      </w:tblGrid>
      <w:tr w:rsidR="002766F2" w:rsidRPr="00691D6D" w:rsidTr="00947346">
        <w:trPr>
          <w:cantSplit/>
          <w:trHeight w:val="179"/>
          <w:tblHeader/>
          <w:jc w:val="center"/>
        </w:trPr>
        <w:tc>
          <w:tcPr>
            <w:tcW w:w="1830" w:type="dxa"/>
            <w:tcBorders>
              <w:bottom w:val="single" w:sz="4" w:space="0" w:color="auto"/>
            </w:tcBorders>
            <w:shd w:val="clear" w:color="auto" w:fill="BFBFBF" w:themeFill="background1" w:themeFillShade="BF"/>
            <w:vAlign w:val="center"/>
          </w:tcPr>
          <w:p w:rsidR="002766F2" w:rsidRPr="00580D07" w:rsidRDefault="002766F2" w:rsidP="00947346">
            <w:pPr>
              <w:spacing w:after="0" w:line="240" w:lineRule="auto"/>
              <w:jc w:val="center"/>
              <w:rPr>
                <w:b/>
                <w:bCs/>
              </w:rPr>
            </w:pPr>
            <w:r w:rsidRPr="00580D07">
              <w:rPr>
                <w:b/>
                <w:bCs/>
              </w:rPr>
              <w:lastRenderedPageBreak/>
              <w:t>TWG</w:t>
            </w:r>
          </w:p>
        </w:tc>
        <w:tc>
          <w:tcPr>
            <w:tcW w:w="3665" w:type="dxa"/>
            <w:shd w:val="clear" w:color="auto" w:fill="BFBFBF" w:themeFill="background1" w:themeFillShade="BF"/>
            <w:vAlign w:val="center"/>
          </w:tcPr>
          <w:p w:rsidR="002766F2" w:rsidRPr="00691D6D" w:rsidRDefault="002766F2" w:rsidP="00947346">
            <w:pPr>
              <w:spacing w:after="0" w:line="240" w:lineRule="auto"/>
              <w:jc w:val="center"/>
              <w:rPr>
                <w:b/>
                <w:bCs/>
              </w:rPr>
            </w:pPr>
            <w:r w:rsidRPr="00691D6D">
              <w:rPr>
                <w:b/>
                <w:bCs/>
              </w:rPr>
              <w:t>TC SWAp MILESTONE 2013/14</w:t>
            </w:r>
          </w:p>
        </w:tc>
        <w:tc>
          <w:tcPr>
            <w:tcW w:w="10119" w:type="dxa"/>
            <w:shd w:val="clear" w:color="auto" w:fill="BFBFBF" w:themeFill="background1" w:themeFillShade="BF"/>
            <w:vAlign w:val="center"/>
          </w:tcPr>
          <w:p w:rsidR="002766F2" w:rsidRPr="00691D6D" w:rsidRDefault="002766F2" w:rsidP="00947346">
            <w:pPr>
              <w:spacing w:after="0" w:line="240" w:lineRule="auto"/>
              <w:jc w:val="center"/>
              <w:rPr>
                <w:b/>
                <w:bCs/>
              </w:rPr>
            </w:pPr>
            <w:r>
              <w:rPr>
                <w:b/>
                <w:bCs/>
              </w:rPr>
              <w:t xml:space="preserve">Status </w:t>
            </w:r>
            <w:r w:rsidRPr="00691D6D">
              <w:rPr>
                <w:b/>
                <w:bCs/>
              </w:rPr>
              <w:t>Update</w:t>
            </w:r>
          </w:p>
        </w:tc>
      </w:tr>
      <w:tr w:rsidR="009E6E21" w:rsidRPr="00F47140" w:rsidTr="001E4F38">
        <w:trPr>
          <w:trHeight w:val="225"/>
          <w:jc w:val="center"/>
        </w:trPr>
        <w:tc>
          <w:tcPr>
            <w:tcW w:w="1830" w:type="dxa"/>
            <w:vMerge w:val="restart"/>
            <w:shd w:val="clear" w:color="auto" w:fill="auto"/>
          </w:tcPr>
          <w:p w:rsidR="009E6E21" w:rsidRPr="00F47140" w:rsidRDefault="009E6E21" w:rsidP="00397FDB">
            <w:pPr>
              <w:spacing w:after="0" w:line="240" w:lineRule="auto"/>
              <w:rPr>
                <w:b/>
                <w:bCs/>
              </w:rPr>
            </w:pPr>
            <w:r w:rsidRPr="00F47140">
              <w:rPr>
                <w:b/>
                <w:bCs/>
              </w:rPr>
              <w:t>TWG 4</w:t>
            </w:r>
          </w:p>
          <w:p w:rsidR="009E6E21" w:rsidRPr="00F47140" w:rsidRDefault="009E6E21" w:rsidP="00397FDB">
            <w:pPr>
              <w:spacing w:after="0" w:line="240" w:lineRule="auto"/>
              <w:rPr>
                <w:b/>
                <w:bCs/>
              </w:rPr>
            </w:pPr>
            <w:r w:rsidRPr="00F47140">
              <w:rPr>
                <w:b/>
                <w:bCs/>
              </w:rPr>
              <w:t>Public Private Partnership</w:t>
            </w:r>
          </w:p>
        </w:tc>
        <w:tc>
          <w:tcPr>
            <w:tcW w:w="3665" w:type="dxa"/>
            <w:shd w:val="clear" w:color="auto" w:fill="auto"/>
          </w:tcPr>
          <w:p w:rsidR="009E6E21" w:rsidRPr="00F47140" w:rsidRDefault="009E6E21" w:rsidP="00C06127">
            <w:pPr>
              <w:numPr>
                <w:ilvl w:val="0"/>
                <w:numId w:val="2"/>
              </w:numPr>
              <w:spacing w:after="0" w:line="240" w:lineRule="auto"/>
              <w:ind w:left="297"/>
            </w:pPr>
            <w:r w:rsidRPr="00F47140">
              <w:t xml:space="preserve">National level Public-Private Health Forum and Regional fora functioning and supporting establishment of council level PPP fora </w:t>
            </w:r>
          </w:p>
        </w:tc>
        <w:tc>
          <w:tcPr>
            <w:tcW w:w="10119" w:type="dxa"/>
            <w:shd w:val="clear" w:color="auto" w:fill="auto"/>
          </w:tcPr>
          <w:p w:rsidR="009E6E21" w:rsidRPr="00F47140" w:rsidRDefault="009E6E21" w:rsidP="00C06127">
            <w:pPr>
              <w:pStyle w:val="ListParagraph"/>
              <w:numPr>
                <w:ilvl w:val="0"/>
                <w:numId w:val="16"/>
              </w:numPr>
              <w:suppressAutoHyphens w:val="0"/>
              <w:spacing w:after="0" w:line="240" w:lineRule="auto"/>
            </w:pPr>
            <w:r w:rsidRPr="00F47140">
              <w:t>The Executive Board meeting of the National Public-Private Health Forum Tanzania (PPHF) held three meetings since the JAHSR (December 2013, February &amp; September 2014). An official launch of the PPHF was conducted on 24</w:t>
            </w:r>
            <w:r w:rsidRPr="00F47140">
              <w:rPr>
                <w:vertAlign w:val="superscript"/>
              </w:rPr>
              <w:t>th</w:t>
            </w:r>
            <w:r w:rsidRPr="00F47140">
              <w:t xml:space="preserve"> April, 2014 by the Minister of Health and Social Welfare </w:t>
            </w:r>
          </w:p>
          <w:p w:rsidR="009E6E21" w:rsidRPr="00F47140" w:rsidRDefault="009E6E21" w:rsidP="00C06127">
            <w:pPr>
              <w:pStyle w:val="ListParagraph"/>
              <w:numPr>
                <w:ilvl w:val="0"/>
                <w:numId w:val="16"/>
              </w:numPr>
              <w:suppressAutoHyphens w:val="0"/>
              <w:spacing w:after="0" w:line="240" w:lineRule="auto"/>
            </w:pPr>
            <w:r w:rsidRPr="00F47140">
              <w:t xml:space="preserve">Dissemination of PPP documents, IEC materials and other MOHSW PPP related documents and advocacy activities have been carried out in 10 regions (100%) (Manyara, Singida, Njombe, Mtwara, Geita, DSM , Katavi, Rukwa, Kagera and Mara) out of 10 planned regions and three national hospitals (MNH,MOI, ORCI). Total number of 280 public and private sector members participated. PPP advocacy and dissemination meetings were held in 24 councils through CSSC in collaboration with the PPP sub-unit, MOHSW. </w:t>
            </w:r>
          </w:p>
          <w:p w:rsidR="009E6E21" w:rsidRPr="00F47140" w:rsidRDefault="009E6E21" w:rsidP="00C06127">
            <w:pPr>
              <w:pStyle w:val="ListParagraph"/>
              <w:numPr>
                <w:ilvl w:val="0"/>
                <w:numId w:val="16"/>
              </w:numPr>
              <w:suppressAutoHyphens w:val="0"/>
              <w:spacing w:after="0" w:line="240" w:lineRule="auto"/>
            </w:pPr>
            <w:r w:rsidRPr="00F47140">
              <w:t xml:space="preserve">Training of Regional PPP Trainer of Trainers (TOTs) was conducted in 13 regions (100%) (Geita, Kagera, Tabora, Kigoma, Mtwara, Lindi, Mbeya, Ruvuma , Katavi, Kilimanjaro, Simiyu, Tanga and Mara) out of 13 planned regions. Total number of 198 regional trainers trained. </w:t>
            </w:r>
          </w:p>
          <w:p w:rsidR="009E6E21" w:rsidRPr="00F47140" w:rsidRDefault="009E6E21" w:rsidP="00C06127">
            <w:pPr>
              <w:pStyle w:val="ListParagraph"/>
              <w:numPr>
                <w:ilvl w:val="0"/>
                <w:numId w:val="16"/>
              </w:numPr>
              <w:suppressAutoHyphens w:val="0"/>
              <w:spacing w:after="0" w:line="240" w:lineRule="auto"/>
            </w:pPr>
            <w:r w:rsidRPr="00F47140">
              <w:t xml:space="preserve">The PPP communication strategy is done, the data base and social welfare public and private services mapping consultants contracted and the work is nearing completion. </w:t>
            </w:r>
          </w:p>
        </w:tc>
      </w:tr>
      <w:tr w:rsidR="009E6E21" w:rsidRPr="00580D07" w:rsidTr="00803AA8">
        <w:trPr>
          <w:trHeight w:val="225"/>
          <w:jc w:val="center"/>
        </w:trPr>
        <w:tc>
          <w:tcPr>
            <w:tcW w:w="1830" w:type="dxa"/>
            <w:vMerge/>
            <w:tcBorders>
              <w:bottom w:val="single" w:sz="4" w:space="0" w:color="auto"/>
            </w:tcBorders>
            <w:shd w:val="clear" w:color="auto" w:fill="auto"/>
          </w:tcPr>
          <w:p w:rsidR="009E6E21" w:rsidRPr="00580D07" w:rsidRDefault="009E6E21" w:rsidP="00691D6D">
            <w:pPr>
              <w:spacing w:after="0" w:line="240" w:lineRule="auto"/>
              <w:rPr>
                <w:b/>
                <w:bCs/>
              </w:rPr>
            </w:pPr>
          </w:p>
        </w:tc>
        <w:tc>
          <w:tcPr>
            <w:tcW w:w="3665" w:type="dxa"/>
            <w:shd w:val="clear" w:color="auto" w:fill="auto"/>
          </w:tcPr>
          <w:p w:rsidR="009E6E21" w:rsidRPr="00580D07" w:rsidRDefault="009E6E21" w:rsidP="00691D6D">
            <w:pPr>
              <w:numPr>
                <w:ilvl w:val="0"/>
                <w:numId w:val="2"/>
              </w:numPr>
              <w:spacing w:after="0" w:line="240" w:lineRule="auto"/>
              <w:ind w:left="297"/>
              <w:rPr>
                <w:lang w:val="en-US"/>
              </w:rPr>
            </w:pPr>
            <w:r w:rsidRPr="00580D07">
              <w:t xml:space="preserve">National level Public-Private Health Forum and Regional fora functioning and supporting establishment of council level PPP fora </w:t>
            </w:r>
          </w:p>
        </w:tc>
        <w:tc>
          <w:tcPr>
            <w:tcW w:w="10119" w:type="dxa"/>
            <w:shd w:val="clear" w:color="auto" w:fill="auto"/>
          </w:tcPr>
          <w:p w:rsidR="009E6E21" w:rsidRPr="00F47140" w:rsidRDefault="009E6E21" w:rsidP="00C06127">
            <w:pPr>
              <w:pStyle w:val="ListParagraph"/>
              <w:numPr>
                <w:ilvl w:val="0"/>
                <w:numId w:val="16"/>
              </w:numPr>
              <w:suppressAutoHyphens w:val="0"/>
              <w:spacing w:after="0" w:line="240" w:lineRule="auto"/>
            </w:pPr>
            <w:r w:rsidRPr="00F47140">
              <w:t>The Executive Board meeting of the National Public-Private Health Forum Tanzania (PPHF) held three meetings since the JAHSR (December 2013, February &amp; September 2014). An official launch of the PPHF was conducted on 24</w:t>
            </w:r>
            <w:r w:rsidRPr="00F47140">
              <w:rPr>
                <w:vertAlign w:val="superscript"/>
              </w:rPr>
              <w:t>th</w:t>
            </w:r>
            <w:r w:rsidRPr="00F47140">
              <w:t xml:space="preserve"> April, 2014 by the Minister of Health and Social Welfare </w:t>
            </w:r>
          </w:p>
          <w:p w:rsidR="009E6E21" w:rsidRPr="00F47140" w:rsidRDefault="009E6E21" w:rsidP="00C06127">
            <w:pPr>
              <w:pStyle w:val="ListParagraph"/>
              <w:numPr>
                <w:ilvl w:val="0"/>
                <w:numId w:val="16"/>
              </w:numPr>
              <w:suppressAutoHyphens w:val="0"/>
              <w:spacing w:after="0" w:line="240" w:lineRule="auto"/>
            </w:pPr>
            <w:r w:rsidRPr="00F47140">
              <w:t xml:space="preserve">Dissemination of PPP documents, IEC materials and other MOHSW PPP related documents and advocacy activities have been carried out in 10 regions (100%) (Manyara, Singida, Njombe, Mtwara, Geita, DSM , Katavi, Rukwa, Kagera and Mara) out of 10 planned regions and three national hospitals (MNH,MOI, ORCI). Total number of 280 public and private sector members participated. PPP advocacy and dissemination meetings were held in 24 councils through CSSC in collaboration with the PPP sub-unit, MOHSW. </w:t>
            </w:r>
          </w:p>
          <w:p w:rsidR="009E6E21" w:rsidRPr="00F47140" w:rsidRDefault="009E6E21" w:rsidP="00C06127">
            <w:pPr>
              <w:pStyle w:val="ListParagraph"/>
              <w:numPr>
                <w:ilvl w:val="0"/>
                <w:numId w:val="16"/>
              </w:numPr>
              <w:suppressAutoHyphens w:val="0"/>
              <w:spacing w:after="0" w:line="240" w:lineRule="auto"/>
            </w:pPr>
            <w:r w:rsidRPr="00F47140">
              <w:t xml:space="preserve">Training of Regional PPP Trainer of Trainers (TOTs) was conducted in 13 regions (100%) (Geita, Kagera, Tabora, Kigoma, Mtwara, Lindi, Mbeya, Ruvuma , Katavi, Kilimanjaro, Simiyu, Tanga and Mara) out of 13 planned regions. Total number of 198 regional trainers trained. </w:t>
            </w:r>
          </w:p>
          <w:p w:rsidR="009E6E21" w:rsidRPr="00580D07" w:rsidRDefault="009E6E21" w:rsidP="00C06127">
            <w:pPr>
              <w:pStyle w:val="ListParagraph"/>
              <w:numPr>
                <w:ilvl w:val="0"/>
                <w:numId w:val="16"/>
              </w:numPr>
              <w:suppressAutoHyphens w:val="0"/>
              <w:spacing w:after="0" w:line="240" w:lineRule="auto"/>
            </w:pPr>
            <w:r w:rsidRPr="00F47140">
              <w:t>The PPP communication strategy is done, the data base and social welfare public and private services mapping consultants contracted and the work is nearing completion.</w:t>
            </w:r>
          </w:p>
        </w:tc>
      </w:tr>
    </w:tbl>
    <w:p w:rsidR="00600B74" w:rsidRDefault="00600B74">
      <w:r>
        <w:br w:type="page"/>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0"/>
        <w:gridCol w:w="3665"/>
        <w:gridCol w:w="10119"/>
      </w:tblGrid>
      <w:tr w:rsidR="002766F2" w:rsidRPr="00691D6D" w:rsidTr="00947346">
        <w:trPr>
          <w:cantSplit/>
          <w:trHeight w:val="179"/>
          <w:tblHeader/>
          <w:jc w:val="center"/>
        </w:trPr>
        <w:tc>
          <w:tcPr>
            <w:tcW w:w="1830" w:type="dxa"/>
            <w:tcBorders>
              <w:bottom w:val="single" w:sz="4" w:space="0" w:color="auto"/>
            </w:tcBorders>
            <w:shd w:val="clear" w:color="auto" w:fill="BFBFBF" w:themeFill="background1" w:themeFillShade="BF"/>
            <w:vAlign w:val="center"/>
          </w:tcPr>
          <w:p w:rsidR="002766F2" w:rsidRPr="00580D07" w:rsidRDefault="002766F2" w:rsidP="00947346">
            <w:pPr>
              <w:spacing w:after="0" w:line="240" w:lineRule="auto"/>
              <w:jc w:val="center"/>
              <w:rPr>
                <w:b/>
                <w:bCs/>
              </w:rPr>
            </w:pPr>
            <w:r w:rsidRPr="00580D07">
              <w:rPr>
                <w:b/>
                <w:bCs/>
              </w:rPr>
              <w:lastRenderedPageBreak/>
              <w:t>TWG</w:t>
            </w:r>
          </w:p>
        </w:tc>
        <w:tc>
          <w:tcPr>
            <w:tcW w:w="3665" w:type="dxa"/>
            <w:shd w:val="clear" w:color="auto" w:fill="BFBFBF" w:themeFill="background1" w:themeFillShade="BF"/>
            <w:vAlign w:val="center"/>
          </w:tcPr>
          <w:p w:rsidR="002766F2" w:rsidRPr="00691D6D" w:rsidRDefault="002766F2" w:rsidP="00947346">
            <w:pPr>
              <w:spacing w:after="0" w:line="240" w:lineRule="auto"/>
              <w:jc w:val="center"/>
              <w:rPr>
                <w:b/>
                <w:bCs/>
              </w:rPr>
            </w:pPr>
            <w:r w:rsidRPr="00691D6D">
              <w:rPr>
                <w:b/>
                <w:bCs/>
              </w:rPr>
              <w:t>TC SWAp MILESTONE 2013/14</w:t>
            </w:r>
          </w:p>
        </w:tc>
        <w:tc>
          <w:tcPr>
            <w:tcW w:w="10119" w:type="dxa"/>
            <w:shd w:val="clear" w:color="auto" w:fill="BFBFBF" w:themeFill="background1" w:themeFillShade="BF"/>
            <w:vAlign w:val="center"/>
          </w:tcPr>
          <w:p w:rsidR="002766F2" w:rsidRPr="00691D6D" w:rsidRDefault="002766F2" w:rsidP="00947346">
            <w:pPr>
              <w:spacing w:after="0" w:line="240" w:lineRule="auto"/>
              <w:jc w:val="center"/>
              <w:rPr>
                <w:b/>
                <w:bCs/>
              </w:rPr>
            </w:pPr>
            <w:r>
              <w:rPr>
                <w:b/>
                <w:bCs/>
              </w:rPr>
              <w:t xml:space="preserve">Status </w:t>
            </w:r>
            <w:r w:rsidRPr="00691D6D">
              <w:rPr>
                <w:b/>
                <w:bCs/>
              </w:rPr>
              <w:t>Update</w:t>
            </w:r>
          </w:p>
        </w:tc>
      </w:tr>
      <w:tr w:rsidR="00803AA8" w:rsidRPr="00580D07" w:rsidTr="00803AA8">
        <w:trPr>
          <w:trHeight w:val="1841"/>
          <w:jc w:val="center"/>
        </w:trPr>
        <w:tc>
          <w:tcPr>
            <w:tcW w:w="1830" w:type="dxa"/>
            <w:tcBorders>
              <w:bottom w:val="single" w:sz="4" w:space="0" w:color="auto"/>
            </w:tcBorders>
            <w:shd w:val="clear" w:color="auto" w:fill="auto"/>
          </w:tcPr>
          <w:p w:rsidR="00803AA8" w:rsidRPr="00580D07" w:rsidRDefault="00803AA8" w:rsidP="00691D6D">
            <w:pPr>
              <w:spacing w:after="0" w:line="240" w:lineRule="auto"/>
              <w:rPr>
                <w:b/>
                <w:bCs/>
              </w:rPr>
            </w:pPr>
            <w:r w:rsidRPr="00580D07">
              <w:rPr>
                <w:b/>
                <w:bCs/>
              </w:rPr>
              <w:t>TWG 6</w:t>
            </w:r>
          </w:p>
          <w:p w:rsidR="00803AA8" w:rsidRPr="00580D07" w:rsidRDefault="00803AA8" w:rsidP="00691D6D">
            <w:pPr>
              <w:spacing w:after="0" w:line="240" w:lineRule="auto"/>
              <w:rPr>
                <w:b/>
                <w:bCs/>
              </w:rPr>
            </w:pPr>
            <w:r w:rsidRPr="00580D07">
              <w:rPr>
                <w:b/>
                <w:bCs/>
              </w:rPr>
              <w:t xml:space="preserve">Nutrition </w:t>
            </w:r>
          </w:p>
        </w:tc>
        <w:tc>
          <w:tcPr>
            <w:tcW w:w="3665" w:type="dxa"/>
            <w:shd w:val="clear" w:color="auto" w:fill="auto"/>
          </w:tcPr>
          <w:p w:rsidR="00803AA8" w:rsidRPr="00803AA8" w:rsidRDefault="00803AA8" w:rsidP="00947346">
            <w:pPr>
              <w:numPr>
                <w:ilvl w:val="0"/>
                <w:numId w:val="2"/>
              </w:numPr>
              <w:spacing w:after="0" w:line="240" w:lineRule="auto"/>
              <w:ind w:left="297"/>
            </w:pPr>
            <w:r w:rsidRPr="00803AA8">
              <w:rPr>
                <w:rFonts w:cs="Arial"/>
              </w:rPr>
              <w:t>Regional and District Nutrition Officers/Focal Persons trained on Implementation and Management of Nutrition Interventions at Regional and District levels.</w:t>
            </w:r>
          </w:p>
        </w:tc>
        <w:tc>
          <w:tcPr>
            <w:tcW w:w="10119" w:type="dxa"/>
            <w:shd w:val="clear" w:color="auto" w:fill="auto"/>
          </w:tcPr>
          <w:p w:rsidR="00803AA8" w:rsidRPr="00803AA8" w:rsidRDefault="00803AA8" w:rsidP="00803AA8">
            <w:pPr>
              <w:pStyle w:val="ListParagraph"/>
              <w:numPr>
                <w:ilvl w:val="0"/>
                <w:numId w:val="17"/>
              </w:numPr>
              <w:spacing w:after="0" w:line="240" w:lineRule="auto"/>
              <w:jc w:val="both"/>
              <w:rPr>
                <w:rFonts w:cs="Arial"/>
              </w:rPr>
            </w:pPr>
            <w:r w:rsidRPr="00803AA8">
              <w:rPr>
                <w:rFonts w:cs="Arial"/>
              </w:rPr>
              <w:t xml:space="preserve">Development of </w:t>
            </w:r>
            <w:r w:rsidRPr="00803AA8">
              <w:t xml:space="preserve">In-service training curriculum for Nutrition Officers and Multi-sectoral Focal persons has been completed. The modularized competence based curriculum was composed of four (4) modules with facilitator’s guide and participant’s training manuals. </w:t>
            </w:r>
            <w:r w:rsidRPr="00803AA8">
              <w:rPr>
                <w:rFonts w:cs="Arial"/>
              </w:rPr>
              <w:t>Training of Master trainers (TOT) and the micro-training to pre-test the modules were conducted in Morogoro between May and July 2014. A total of 18 master trainers were trained. The first actual training (rollout) of RNO’s and DNO’ commenced in</w:t>
            </w:r>
            <w:r w:rsidRPr="00803AA8">
              <w:t xml:space="preserve"> two centers namely Mwanza city and Kahama town involving a total of 34 participants from six regions (Kagera, Mwanza, Mara, Geita, Tabora and Kigoma. </w:t>
            </w:r>
          </w:p>
        </w:tc>
      </w:tr>
    </w:tbl>
    <w:p w:rsidR="00600B74" w:rsidRDefault="00600B74">
      <w:r>
        <w:br w:type="page"/>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0"/>
        <w:gridCol w:w="3665"/>
        <w:gridCol w:w="10119"/>
      </w:tblGrid>
      <w:tr w:rsidR="002766F2" w:rsidRPr="00691D6D" w:rsidTr="00947346">
        <w:trPr>
          <w:cantSplit/>
          <w:trHeight w:val="179"/>
          <w:tblHeader/>
          <w:jc w:val="center"/>
        </w:trPr>
        <w:tc>
          <w:tcPr>
            <w:tcW w:w="1830" w:type="dxa"/>
            <w:tcBorders>
              <w:bottom w:val="single" w:sz="4" w:space="0" w:color="auto"/>
            </w:tcBorders>
            <w:shd w:val="clear" w:color="auto" w:fill="BFBFBF" w:themeFill="background1" w:themeFillShade="BF"/>
            <w:vAlign w:val="center"/>
          </w:tcPr>
          <w:p w:rsidR="002766F2" w:rsidRPr="00580D07" w:rsidRDefault="002766F2" w:rsidP="00947346">
            <w:pPr>
              <w:spacing w:after="0" w:line="240" w:lineRule="auto"/>
              <w:jc w:val="center"/>
              <w:rPr>
                <w:b/>
                <w:bCs/>
              </w:rPr>
            </w:pPr>
            <w:r w:rsidRPr="00580D07">
              <w:rPr>
                <w:b/>
                <w:bCs/>
              </w:rPr>
              <w:lastRenderedPageBreak/>
              <w:t>TWG</w:t>
            </w:r>
          </w:p>
        </w:tc>
        <w:tc>
          <w:tcPr>
            <w:tcW w:w="3665" w:type="dxa"/>
            <w:shd w:val="clear" w:color="auto" w:fill="BFBFBF" w:themeFill="background1" w:themeFillShade="BF"/>
            <w:vAlign w:val="center"/>
          </w:tcPr>
          <w:p w:rsidR="002766F2" w:rsidRPr="00691D6D" w:rsidRDefault="002766F2" w:rsidP="00947346">
            <w:pPr>
              <w:spacing w:after="0" w:line="240" w:lineRule="auto"/>
              <w:jc w:val="center"/>
              <w:rPr>
                <w:b/>
                <w:bCs/>
              </w:rPr>
            </w:pPr>
            <w:r w:rsidRPr="00691D6D">
              <w:rPr>
                <w:b/>
                <w:bCs/>
              </w:rPr>
              <w:t>TC SWAp MILESTONE 2013/14</w:t>
            </w:r>
          </w:p>
        </w:tc>
        <w:tc>
          <w:tcPr>
            <w:tcW w:w="10119" w:type="dxa"/>
            <w:shd w:val="clear" w:color="auto" w:fill="BFBFBF" w:themeFill="background1" w:themeFillShade="BF"/>
            <w:vAlign w:val="center"/>
          </w:tcPr>
          <w:p w:rsidR="002766F2" w:rsidRPr="00691D6D" w:rsidRDefault="002766F2" w:rsidP="00947346">
            <w:pPr>
              <w:spacing w:after="0" w:line="240" w:lineRule="auto"/>
              <w:jc w:val="center"/>
              <w:rPr>
                <w:b/>
                <w:bCs/>
              </w:rPr>
            </w:pPr>
            <w:r>
              <w:rPr>
                <w:b/>
                <w:bCs/>
              </w:rPr>
              <w:t xml:space="preserve">Status </w:t>
            </w:r>
            <w:r w:rsidRPr="00691D6D">
              <w:rPr>
                <w:b/>
                <w:bCs/>
              </w:rPr>
              <w:t>Update</w:t>
            </w:r>
          </w:p>
        </w:tc>
      </w:tr>
      <w:tr w:rsidR="00E35C94" w:rsidRPr="00691D6D" w:rsidTr="00803AA8">
        <w:trPr>
          <w:trHeight w:val="373"/>
          <w:jc w:val="center"/>
        </w:trPr>
        <w:tc>
          <w:tcPr>
            <w:tcW w:w="1830" w:type="dxa"/>
            <w:tcBorders>
              <w:bottom w:val="single" w:sz="4" w:space="0" w:color="auto"/>
            </w:tcBorders>
            <w:shd w:val="clear" w:color="auto" w:fill="auto"/>
          </w:tcPr>
          <w:p w:rsidR="00E35C94" w:rsidRPr="00580D07" w:rsidRDefault="00E35C94" w:rsidP="001001A2">
            <w:pPr>
              <w:spacing w:after="0" w:line="240" w:lineRule="auto"/>
              <w:rPr>
                <w:b/>
                <w:bCs/>
              </w:rPr>
            </w:pPr>
            <w:r w:rsidRPr="00580D07">
              <w:rPr>
                <w:b/>
                <w:bCs/>
              </w:rPr>
              <w:t>TWG 7</w:t>
            </w:r>
          </w:p>
          <w:p w:rsidR="00E35C94" w:rsidRPr="00580D07" w:rsidRDefault="00E35C94" w:rsidP="001001A2">
            <w:pPr>
              <w:spacing w:after="0" w:line="240" w:lineRule="auto"/>
              <w:rPr>
                <w:b/>
                <w:bCs/>
              </w:rPr>
            </w:pPr>
            <w:r w:rsidRPr="00580D07">
              <w:rPr>
                <w:b/>
                <w:bCs/>
              </w:rPr>
              <w:t xml:space="preserve">Disease specific </w:t>
            </w:r>
          </w:p>
        </w:tc>
        <w:tc>
          <w:tcPr>
            <w:tcW w:w="3665" w:type="dxa"/>
            <w:shd w:val="clear" w:color="auto" w:fill="auto"/>
          </w:tcPr>
          <w:p w:rsidR="00E35C94" w:rsidRPr="00580D07" w:rsidRDefault="00E35C94" w:rsidP="001001A2">
            <w:pPr>
              <w:numPr>
                <w:ilvl w:val="0"/>
                <w:numId w:val="2"/>
              </w:numPr>
              <w:spacing w:after="0" w:line="240" w:lineRule="auto"/>
              <w:ind w:left="297"/>
              <w:rPr>
                <w:lang w:val="en-US"/>
              </w:rPr>
            </w:pPr>
            <w:r w:rsidRPr="00580D07">
              <w:t>Increase Government of Tanzania and DP support for health promotion, prevention, curative and rehabilitative services for NCDs</w:t>
            </w:r>
          </w:p>
        </w:tc>
        <w:tc>
          <w:tcPr>
            <w:tcW w:w="10119" w:type="dxa"/>
            <w:shd w:val="clear" w:color="auto" w:fill="auto"/>
          </w:tcPr>
          <w:p w:rsidR="00166903" w:rsidRPr="00166903" w:rsidRDefault="00166903" w:rsidP="00C97844">
            <w:pPr>
              <w:spacing w:after="0" w:line="240" w:lineRule="auto"/>
              <w:rPr>
                <w:rFonts w:eastAsia="MS Mincho" w:cs="Arial"/>
                <w:lang w:eastAsia="ar-SA"/>
              </w:rPr>
            </w:pPr>
            <w:r w:rsidRPr="00166903">
              <w:rPr>
                <w:rFonts w:eastAsia="MS Mincho" w:cs="Arial"/>
                <w:lang w:eastAsia="ar-SA"/>
              </w:rPr>
              <w:t>Non-communicable Diseases are currently a significant cause of morbidity and mortality worldwide and within Tanzania. The national NCD Strategy focuses on the following diseases and conditions: Cardiovascular diseases, diabetes, cancers, chronic respiratory diseases, birth defects, blindness, deafness, oral health, mental disorders and substance abuse, sickle cell disease and injuries and trauma.</w:t>
            </w:r>
          </w:p>
          <w:p w:rsidR="00166903" w:rsidRPr="00166903" w:rsidRDefault="00166903" w:rsidP="00C97844">
            <w:pPr>
              <w:spacing w:after="0" w:line="240" w:lineRule="auto"/>
              <w:rPr>
                <w:rFonts w:eastAsia="MS Mincho" w:cs="Arial"/>
                <w:lang w:eastAsia="ar-SA"/>
              </w:rPr>
            </w:pPr>
            <w:r w:rsidRPr="00166903">
              <w:rPr>
                <w:rFonts w:eastAsia="MS Mincho" w:cs="Arial"/>
                <w:lang w:eastAsia="ar-SA"/>
              </w:rPr>
              <w:t>For year 2013/14 the MoHSW continued with efforts to address the burden of NCDs in the country in collaboration with partners as described below:</w:t>
            </w:r>
          </w:p>
          <w:p w:rsidR="00166903" w:rsidRPr="00166903" w:rsidRDefault="00166903" w:rsidP="00C97844">
            <w:pPr>
              <w:numPr>
                <w:ilvl w:val="0"/>
                <w:numId w:val="11"/>
              </w:numPr>
              <w:spacing w:after="0" w:line="240" w:lineRule="auto"/>
              <w:contextualSpacing/>
              <w:rPr>
                <w:rFonts w:eastAsia="MS Mincho" w:cs="Arial"/>
                <w:lang w:eastAsia="ar-SA"/>
              </w:rPr>
            </w:pPr>
            <w:r w:rsidRPr="00166903">
              <w:rPr>
                <w:rFonts w:eastAsia="MS Mincho" w:cs="Arial"/>
                <w:lang w:eastAsia="ar-SA"/>
              </w:rPr>
              <w:t>Strategic plans and guidelines:</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Update of the NCD Action Plan</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Printing and Dissemination of National Cancer Control Strategy (Two zones)</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Costing of the National Cancer Control Strategy in progress</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 xml:space="preserve">Launching of the National Oral Health Strategic Plan </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 xml:space="preserve">Development of a multisectoral committee for NCDs – proposal developed </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National Eye Care Program: continues to implement its Five Year Strategic Plan</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Developed NCD’s case management desk guide</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Developed and disseminated NCD’s case management training modules</w:t>
            </w:r>
          </w:p>
          <w:p w:rsidR="00166903" w:rsidRPr="00166903" w:rsidRDefault="00166903" w:rsidP="00C97844">
            <w:pPr>
              <w:numPr>
                <w:ilvl w:val="0"/>
                <w:numId w:val="11"/>
              </w:numPr>
              <w:spacing w:after="0" w:line="240" w:lineRule="auto"/>
              <w:contextualSpacing/>
              <w:rPr>
                <w:rFonts w:eastAsia="MS Mincho" w:cs="Arial"/>
                <w:lang w:eastAsia="ar-SA"/>
              </w:rPr>
            </w:pPr>
            <w:r w:rsidRPr="00166903">
              <w:rPr>
                <w:rFonts w:eastAsia="MS Mincho" w:cs="Arial"/>
                <w:lang w:eastAsia="ar-SA"/>
              </w:rPr>
              <w:t xml:space="preserve">Support integration of NCDs at regional and district level: </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Development of draft package for NCDs sensitization for RHMTs and CHMTS</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Sensitization of RHMTs and CHMTs (two zones)</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Assisting RHMTs and CHMTs in planning for NCDs</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 xml:space="preserve">Completed Situational analysis for NCDs at regional, district and health facility level </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1925 health care providers were trained on NCD’s case management</w:t>
            </w:r>
          </w:p>
          <w:p w:rsidR="00166903" w:rsidRPr="00166903" w:rsidRDefault="00166903" w:rsidP="00C97844">
            <w:pPr>
              <w:numPr>
                <w:ilvl w:val="1"/>
                <w:numId w:val="11"/>
              </w:numPr>
              <w:spacing w:after="0" w:line="240" w:lineRule="auto"/>
              <w:contextualSpacing/>
              <w:rPr>
                <w:rFonts w:eastAsia="MS Mincho" w:cs="Arial"/>
                <w:lang w:eastAsia="ar-SA"/>
              </w:rPr>
            </w:pPr>
            <w:r w:rsidRPr="00166903">
              <w:rPr>
                <w:rFonts w:eastAsia="MS Mincho" w:cs="Arial"/>
                <w:lang w:eastAsia="ar-SA"/>
              </w:rPr>
              <w:t xml:space="preserve">169 NCD’s clinics opened at all Districts hospital </w:t>
            </w:r>
          </w:p>
          <w:p w:rsidR="00166903" w:rsidRPr="00166903" w:rsidRDefault="00166903" w:rsidP="00C97844">
            <w:pPr>
              <w:numPr>
                <w:ilvl w:val="0"/>
                <w:numId w:val="12"/>
              </w:numPr>
              <w:spacing w:after="0" w:line="240" w:lineRule="auto"/>
              <w:rPr>
                <w:rFonts w:eastAsia="MS Mincho" w:cs="Arial"/>
                <w:lang w:eastAsia="ar-SA"/>
              </w:rPr>
            </w:pPr>
            <w:r w:rsidRPr="00166903">
              <w:rPr>
                <w:rFonts w:eastAsia="MS Mincho" w:cs="Arial"/>
                <w:lang w:eastAsia="ar-SA"/>
              </w:rPr>
              <w:t>Improved surveillance and information for NCDs:</w:t>
            </w:r>
          </w:p>
          <w:p w:rsidR="00166903" w:rsidRPr="00166903" w:rsidRDefault="00166903" w:rsidP="00C97844">
            <w:pPr>
              <w:numPr>
                <w:ilvl w:val="1"/>
                <w:numId w:val="12"/>
              </w:numPr>
              <w:spacing w:after="0" w:line="240" w:lineRule="auto"/>
              <w:rPr>
                <w:rFonts w:eastAsia="MS Mincho" w:cs="Arial"/>
                <w:lang w:eastAsia="ar-SA"/>
              </w:rPr>
            </w:pPr>
            <w:r w:rsidRPr="00166903">
              <w:rPr>
                <w:rFonts w:eastAsia="MS Mincho" w:cs="Arial"/>
                <w:lang w:eastAsia="ar-SA"/>
              </w:rPr>
              <w:t>Continued dialogue with for improved integration of NCDs in HMIS</w:t>
            </w:r>
          </w:p>
          <w:p w:rsidR="00166903" w:rsidRDefault="00166903" w:rsidP="00C97844">
            <w:pPr>
              <w:numPr>
                <w:ilvl w:val="1"/>
                <w:numId w:val="12"/>
              </w:numPr>
              <w:spacing w:after="0" w:line="240" w:lineRule="auto"/>
              <w:rPr>
                <w:rFonts w:eastAsia="MS Mincho" w:cs="Arial"/>
                <w:lang w:eastAsia="ar-SA"/>
              </w:rPr>
            </w:pPr>
            <w:r w:rsidRPr="00166903">
              <w:rPr>
                <w:rFonts w:eastAsia="MS Mincho" w:cs="Arial"/>
                <w:lang w:eastAsia="ar-SA"/>
              </w:rPr>
              <w:t xml:space="preserve">Finalization of STEPs survey for NCDs: fact sheet available at </w:t>
            </w:r>
            <w:hyperlink r:id="rId7" w:history="1">
              <w:r w:rsidRPr="00166903">
                <w:rPr>
                  <w:rFonts w:eastAsia="MS Mincho"/>
                  <w:lang w:eastAsia="ar-SA"/>
                </w:rPr>
                <w:t>http://www.who.int/chp/steps/UR_Tanzania_FactSheet_2012.pdf</w:t>
              </w:r>
            </w:hyperlink>
          </w:p>
          <w:p w:rsidR="00166903" w:rsidRPr="00166903" w:rsidRDefault="00166903" w:rsidP="00C97844">
            <w:pPr>
              <w:numPr>
                <w:ilvl w:val="1"/>
                <w:numId w:val="12"/>
              </w:numPr>
              <w:spacing w:after="0" w:line="240" w:lineRule="auto"/>
              <w:rPr>
                <w:rFonts w:eastAsia="MS Mincho" w:cs="Arial"/>
                <w:lang w:eastAsia="ar-SA"/>
              </w:rPr>
            </w:pPr>
            <w:r w:rsidRPr="00166903">
              <w:rPr>
                <w:rFonts w:eastAsia="MS Mincho" w:cs="Arial"/>
                <w:lang w:eastAsia="ar-SA"/>
              </w:rPr>
              <w:t xml:space="preserve">Initial dialogue with stakeholders for improved surveillance of road traffic accidents </w:t>
            </w:r>
          </w:p>
          <w:p w:rsidR="00166903" w:rsidRPr="00166903" w:rsidRDefault="00166903" w:rsidP="00C97844">
            <w:pPr>
              <w:numPr>
                <w:ilvl w:val="0"/>
                <w:numId w:val="12"/>
              </w:numPr>
              <w:spacing w:after="0" w:line="240" w:lineRule="auto"/>
              <w:rPr>
                <w:rFonts w:eastAsia="MS Mincho" w:cs="Arial"/>
                <w:lang w:eastAsia="ar-SA"/>
              </w:rPr>
            </w:pPr>
            <w:r w:rsidRPr="00166903">
              <w:rPr>
                <w:rFonts w:eastAsia="MS Mincho" w:cs="Arial"/>
                <w:lang w:eastAsia="ar-SA"/>
              </w:rPr>
              <w:t>Improving awareness, service delivery and access to care:</w:t>
            </w:r>
          </w:p>
          <w:p w:rsidR="00166903" w:rsidRPr="00166903" w:rsidRDefault="00166903" w:rsidP="00C97844">
            <w:pPr>
              <w:numPr>
                <w:ilvl w:val="1"/>
                <w:numId w:val="12"/>
              </w:numPr>
              <w:spacing w:after="0" w:line="240" w:lineRule="auto"/>
              <w:rPr>
                <w:rFonts w:eastAsia="MS Mincho" w:cs="Arial"/>
                <w:lang w:eastAsia="ar-SA"/>
              </w:rPr>
            </w:pPr>
            <w:r w:rsidRPr="00166903">
              <w:rPr>
                <w:rFonts w:eastAsia="MS Mincho" w:cs="Arial"/>
                <w:lang w:eastAsia="ar-SA"/>
              </w:rPr>
              <w:t xml:space="preserve">Training of health workers on NCDs: Disease-specific training eg diabetes, hypertension </w:t>
            </w:r>
          </w:p>
          <w:p w:rsidR="00166903" w:rsidRPr="00166903" w:rsidRDefault="00166903" w:rsidP="00C97844">
            <w:pPr>
              <w:numPr>
                <w:ilvl w:val="1"/>
                <w:numId w:val="12"/>
              </w:numPr>
              <w:spacing w:after="0" w:line="240" w:lineRule="auto"/>
              <w:rPr>
                <w:rFonts w:eastAsia="MS Mincho" w:cs="Arial"/>
                <w:lang w:eastAsia="ar-SA"/>
              </w:rPr>
            </w:pPr>
            <w:r w:rsidRPr="00166903">
              <w:rPr>
                <w:rFonts w:eastAsia="MS Mincho" w:cs="Arial"/>
                <w:lang w:eastAsia="ar-SA"/>
              </w:rPr>
              <w:t>Orientation of regional dental officers on risk factors for NCDs and oral health</w:t>
            </w:r>
          </w:p>
          <w:p w:rsidR="00166903" w:rsidRPr="00166903" w:rsidRDefault="00166903" w:rsidP="00166903">
            <w:pPr>
              <w:numPr>
                <w:ilvl w:val="1"/>
                <w:numId w:val="12"/>
              </w:numPr>
              <w:spacing w:after="0" w:line="240" w:lineRule="auto"/>
              <w:jc w:val="both"/>
              <w:rPr>
                <w:rFonts w:eastAsia="MS Mincho" w:cs="Arial"/>
                <w:lang w:eastAsia="ar-SA"/>
              </w:rPr>
            </w:pPr>
            <w:r w:rsidRPr="00166903">
              <w:rPr>
                <w:rFonts w:eastAsia="MS Mincho" w:cs="Arial"/>
                <w:lang w:eastAsia="ar-SA"/>
              </w:rPr>
              <w:t>Establishment and scale up of Methadone  Assisted Therapy</w:t>
            </w:r>
          </w:p>
          <w:p w:rsidR="009057D7" w:rsidRPr="009057D7" w:rsidRDefault="00166903" w:rsidP="009057D7">
            <w:pPr>
              <w:numPr>
                <w:ilvl w:val="1"/>
                <w:numId w:val="12"/>
              </w:numPr>
              <w:spacing w:after="0" w:line="240" w:lineRule="auto"/>
              <w:jc w:val="both"/>
              <w:rPr>
                <w:rFonts w:cs="Arial"/>
              </w:rPr>
            </w:pPr>
            <w:r w:rsidRPr="00166903">
              <w:rPr>
                <w:rFonts w:eastAsia="MS Mincho" w:cs="Arial"/>
                <w:lang w:eastAsia="ar-SA"/>
              </w:rPr>
              <w:t>Development of BCC materials in progress</w:t>
            </w:r>
          </w:p>
          <w:p w:rsidR="00E35C94" w:rsidRPr="00580D07" w:rsidRDefault="00166903" w:rsidP="009057D7">
            <w:pPr>
              <w:numPr>
                <w:ilvl w:val="1"/>
                <w:numId w:val="12"/>
              </w:numPr>
              <w:spacing w:after="0" w:line="240" w:lineRule="auto"/>
              <w:jc w:val="both"/>
              <w:rPr>
                <w:rFonts w:cs="Arial"/>
              </w:rPr>
            </w:pPr>
            <w:r w:rsidRPr="00166903">
              <w:rPr>
                <w:rFonts w:eastAsia="MS Mincho" w:cs="Arial"/>
                <w:lang w:eastAsia="ar-SA"/>
              </w:rPr>
              <w:t>Commemoration of World Health days for advocacy and awareness raising</w:t>
            </w:r>
          </w:p>
        </w:tc>
      </w:tr>
    </w:tbl>
    <w:p w:rsidR="00600B74" w:rsidRDefault="00600B74">
      <w:r>
        <w:br w:type="page"/>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0"/>
        <w:gridCol w:w="3665"/>
        <w:gridCol w:w="10119"/>
      </w:tblGrid>
      <w:tr w:rsidR="002766F2" w:rsidRPr="00691D6D" w:rsidTr="00947346">
        <w:trPr>
          <w:cantSplit/>
          <w:trHeight w:val="179"/>
          <w:tblHeader/>
          <w:jc w:val="center"/>
        </w:trPr>
        <w:tc>
          <w:tcPr>
            <w:tcW w:w="1830" w:type="dxa"/>
            <w:tcBorders>
              <w:bottom w:val="single" w:sz="4" w:space="0" w:color="auto"/>
            </w:tcBorders>
            <w:shd w:val="clear" w:color="auto" w:fill="BFBFBF" w:themeFill="background1" w:themeFillShade="BF"/>
            <w:vAlign w:val="center"/>
          </w:tcPr>
          <w:p w:rsidR="002766F2" w:rsidRPr="00580D07" w:rsidRDefault="002766F2" w:rsidP="00947346">
            <w:pPr>
              <w:spacing w:after="0" w:line="240" w:lineRule="auto"/>
              <w:jc w:val="center"/>
              <w:rPr>
                <w:b/>
                <w:bCs/>
              </w:rPr>
            </w:pPr>
            <w:r w:rsidRPr="00580D07">
              <w:rPr>
                <w:b/>
                <w:bCs/>
              </w:rPr>
              <w:lastRenderedPageBreak/>
              <w:t>TWG</w:t>
            </w:r>
          </w:p>
        </w:tc>
        <w:tc>
          <w:tcPr>
            <w:tcW w:w="3665" w:type="dxa"/>
            <w:shd w:val="clear" w:color="auto" w:fill="BFBFBF" w:themeFill="background1" w:themeFillShade="BF"/>
            <w:vAlign w:val="center"/>
          </w:tcPr>
          <w:p w:rsidR="002766F2" w:rsidRPr="00691D6D" w:rsidRDefault="002766F2" w:rsidP="00947346">
            <w:pPr>
              <w:spacing w:after="0" w:line="240" w:lineRule="auto"/>
              <w:jc w:val="center"/>
              <w:rPr>
                <w:b/>
                <w:bCs/>
              </w:rPr>
            </w:pPr>
            <w:r w:rsidRPr="00691D6D">
              <w:rPr>
                <w:b/>
                <w:bCs/>
              </w:rPr>
              <w:t>TC SWAp MILESTONE 2013/14</w:t>
            </w:r>
          </w:p>
        </w:tc>
        <w:tc>
          <w:tcPr>
            <w:tcW w:w="10119" w:type="dxa"/>
            <w:shd w:val="clear" w:color="auto" w:fill="BFBFBF" w:themeFill="background1" w:themeFillShade="BF"/>
            <w:vAlign w:val="center"/>
          </w:tcPr>
          <w:p w:rsidR="002766F2" w:rsidRPr="00691D6D" w:rsidRDefault="002766F2" w:rsidP="00947346">
            <w:pPr>
              <w:spacing w:after="0" w:line="240" w:lineRule="auto"/>
              <w:jc w:val="center"/>
              <w:rPr>
                <w:b/>
                <w:bCs/>
              </w:rPr>
            </w:pPr>
            <w:r>
              <w:rPr>
                <w:b/>
                <w:bCs/>
              </w:rPr>
              <w:t xml:space="preserve">Status </w:t>
            </w:r>
            <w:r w:rsidRPr="00691D6D">
              <w:rPr>
                <w:b/>
                <w:bCs/>
              </w:rPr>
              <w:t>Update</w:t>
            </w:r>
          </w:p>
        </w:tc>
      </w:tr>
      <w:tr w:rsidR="0093285C" w:rsidRPr="00580D07" w:rsidTr="00803AA8">
        <w:trPr>
          <w:trHeight w:val="548"/>
          <w:jc w:val="center"/>
        </w:trPr>
        <w:tc>
          <w:tcPr>
            <w:tcW w:w="1830" w:type="dxa"/>
            <w:tcBorders>
              <w:bottom w:val="single" w:sz="4" w:space="0" w:color="auto"/>
            </w:tcBorders>
            <w:shd w:val="clear" w:color="auto" w:fill="auto"/>
          </w:tcPr>
          <w:p w:rsidR="0010773C" w:rsidRPr="00580D07" w:rsidRDefault="0010773C" w:rsidP="00691D6D">
            <w:pPr>
              <w:spacing w:after="0" w:line="240" w:lineRule="auto"/>
              <w:rPr>
                <w:b/>
                <w:bCs/>
              </w:rPr>
            </w:pPr>
            <w:r w:rsidRPr="00580D07">
              <w:rPr>
                <w:b/>
                <w:bCs/>
              </w:rPr>
              <w:t>TWG 9</w:t>
            </w:r>
          </w:p>
          <w:p w:rsidR="0093285C" w:rsidRPr="00580D07" w:rsidRDefault="0093285C" w:rsidP="00691D6D">
            <w:pPr>
              <w:spacing w:after="0" w:line="240" w:lineRule="auto"/>
              <w:rPr>
                <w:b/>
                <w:bCs/>
              </w:rPr>
            </w:pPr>
            <w:r w:rsidRPr="00580D07">
              <w:rPr>
                <w:b/>
                <w:bCs/>
              </w:rPr>
              <w:t>Social Welfare/ Social Protection</w:t>
            </w:r>
          </w:p>
        </w:tc>
        <w:tc>
          <w:tcPr>
            <w:tcW w:w="3665" w:type="dxa"/>
            <w:tcBorders>
              <w:bottom w:val="single" w:sz="4" w:space="0" w:color="auto"/>
            </w:tcBorders>
            <w:shd w:val="clear" w:color="auto" w:fill="auto"/>
          </w:tcPr>
          <w:p w:rsidR="0093285C" w:rsidRPr="00580D07" w:rsidRDefault="0093285C" w:rsidP="00691D6D">
            <w:pPr>
              <w:numPr>
                <w:ilvl w:val="0"/>
                <w:numId w:val="2"/>
              </w:numPr>
              <w:spacing w:after="0" w:line="240" w:lineRule="auto"/>
              <w:ind w:left="297"/>
              <w:rPr>
                <w:lang w:val="en-US"/>
              </w:rPr>
            </w:pPr>
            <w:r w:rsidRPr="00580D07">
              <w:rPr>
                <w:lang w:val="en-US"/>
              </w:rPr>
              <w:t>Operationalization plan of the M</w:t>
            </w:r>
            <w:r w:rsidR="00B82CAF" w:rsidRPr="00580D07">
              <w:rPr>
                <w:lang w:val="en-US"/>
              </w:rPr>
              <w:t>ost</w:t>
            </w:r>
            <w:r w:rsidR="00B970FB" w:rsidRPr="00580D07">
              <w:rPr>
                <w:lang w:val="en-US"/>
              </w:rPr>
              <w:t xml:space="preserve"> </w:t>
            </w:r>
            <w:r w:rsidRPr="00580D07">
              <w:rPr>
                <w:lang w:val="en-US"/>
              </w:rPr>
              <w:t>V</w:t>
            </w:r>
            <w:r w:rsidR="00B82CAF" w:rsidRPr="00580D07">
              <w:rPr>
                <w:lang w:val="en-US"/>
              </w:rPr>
              <w:t>ulnerabl</w:t>
            </w:r>
            <w:r w:rsidR="00B970FB" w:rsidRPr="00580D07">
              <w:rPr>
                <w:lang w:val="en-US"/>
              </w:rPr>
              <w:t xml:space="preserve">e </w:t>
            </w:r>
            <w:r w:rsidRPr="00580D07">
              <w:rPr>
                <w:lang w:val="en-US"/>
              </w:rPr>
              <w:t>C</w:t>
            </w:r>
            <w:r w:rsidR="00B82CAF" w:rsidRPr="00580D07">
              <w:rPr>
                <w:lang w:val="en-US"/>
              </w:rPr>
              <w:t>hildren</w:t>
            </w:r>
            <w:r w:rsidRPr="00580D07">
              <w:rPr>
                <w:lang w:val="en-US"/>
              </w:rPr>
              <w:t xml:space="preserve"> </w:t>
            </w:r>
            <w:r w:rsidR="00B970FB" w:rsidRPr="00580D07">
              <w:rPr>
                <w:lang w:val="en-US"/>
              </w:rPr>
              <w:t xml:space="preserve">and </w:t>
            </w:r>
            <w:r w:rsidRPr="00580D07">
              <w:rPr>
                <w:lang w:val="en-US"/>
              </w:rPr>
              <w:t>N</w:t>
            </w:r>
            <w:r w:rsidR="00B82CAF" w:rsidRPr="00580D07">
              <w:rPr>
                <w:lang w:val="en-US"/>
              </w:rPr>
              <w:t xml:space="preserve">ational </w:t>
            </w:r>
            <w:r w:rsidRPr="00580D07">
              <w:rPr>
                <w:lang w:val="en-US"/>
              </w:rPr>
              <w:t>C</w:t>
            </w:r>
            <w:r w:rsidR="00B82CAF" w:rsidRPr="00580D07">
              <w:rPr>
                <w:lang w:val="en-US"/>
              </w:rPr>
              <w:t xml:space="preserve">osted </w:t>
            </w:r>
            <w:r w:rsidRPr="00580D07">
              <w:rPr>
                <w:lang w:val="en-US"/>
              </w:rPr>
              <w:t>P</w:t>
            </w:r>
            <w:r w:rsidR="00B82CAF" w:rsidRPr="00580D07">
              <w:rPr>
                <w:lang w:val="en-US"/>
              </w:rPr>
              <w:t xml:space="preserve">lan of </w:t>
            </w:r>
            <w:r w:rsidRPr="00580D07">
              <w:rPr>
                <w:lang w:val="en-US"/>
              </w:rPr>
              <w:t>A</w:t>
            </w:r>
            <w:r w:rsidR="00B82CAF" w:rsidRPr="00580D07">
              <w:rPr>
                <w:lang w:val="en-US"/>
              </w:rPr>
              <w:t>ction</w:t>
            </w:r>
            <w:r w:rsidRPr="00580D07">
              <w:rPr>
                <w:lang w:val="en-US"/>
              </w:rPr>
              <w:t xml:space="preserve"> </w:t>
            </w:r>
            <w:r w:rsidR="00B970FB" w:rsidRPr="00580D07">
              <w:rPr>
                <w:lang w:val="en-US"/>
              </w:rPr>
              <w:t>(NCPA)</w:t>
            </w:r>
            <w:r w:rsidRPr="00580D07">
              <w:rPr>
                <w:lang w:val="en-US"/>
              </w:rPr>
              <w:t xml:space="preserve"> and  sectoral resource allocation at LGA level report Developed by June, 2014</w:t>
            </w:r>
          </w:p>
        </w:tc>
        <w:tc>
          <w:tcPr>
            <w:tcW w:w="10119" w:type="dxa"/>
            <w:tcBorders>
              <w:bottom w:val="single" w:sz="4" w:space="0" w:color="auto"/>
            </w:tcBorders>
            <w:shd w:val="clear" w:color="auto" w:fill="auto"/>
          </w:tcPr>
          <w:p w:rsidR="00AC7F9D" w:rsidRPr="00AC7F9D" w:rsidRDefault="00AC7F9D" w:rsidP="00AC7F9D">
            <w:pPr>
              <w:numPr>
                <w:ilvl w:val="0"/>
                <w:numId w:val="21"/>
              </w:numPr>
              <w:spacing w:after="0" w:line="240" w:lineRule="auto"/>
              <w:jc w:val="both"/>
              <w:rPr>
                <w:szCs w:val="28"/>
              </w:rPr>
            </w:pPr>
            <w:r w:rsidRPr="00AC7F9D">
              <w:rPr>
                <w:szCs w:val="28"/>
              </w:rPr>
              <w:t xml:space="preserve">The National Costed Plan of Action II (2013-2017) spelling out the responsibility of each key player of MVC matters was costed for each thematic area. </w:t>
            </w:r>
          </w:p>
          <w:p w:rsidR="00AC7F9D" w:rsidRPr="00AC7F9D" w:rsidRDefault="00AC7F9D" w:rsidP="00AC7F9D">
            <w:pPr>
              <w:pStyle w:val="ListParagraph"/>
              <w:numPr>
                <w:ilvl w:val="0"/>
                <w:numId w:val="21"/>
              </w:numPr>
              <w:spacing w:after="0" w:line="240" w:lineRule="auto"/>
              <w:jc w:val="both"/>
              <w:rPr>
                <w:szCs w:val="28"/>
              </w:rPr>
            </w:pPr>
            <w:r w:rsidRPr="00AC7F9D">
              <w:rPr>
                <w:szCs w:val="28"/>
              </w:rPr>
              <w:t>17 SWOs from 6 districts</w:t>
            </w:r>
            <w:r>
              <w:rPr>
                <w:szCs w:val="28"/>
              </w:rPr>
              <w:t xml:space="preserve"> implementing CPSS of Bukoba (R),</w:t>
            </w:r>
            <w:r w:rsidRPr="00AC7F9D">
              <w:rPr>
                <w:szCs w:val="28"/>
              </w:rPr>
              <w:t xml:space="preserve"> Ilala, Kinondoni, Nyamagana, Ilemela, Musoma (M),  were Trained on Child Protection (CP) Issues. </w:t>
            </w:r>
          </w:p>
          <w:p w:rsidR="00AC7F9D" w:rsidRPr="00AC7F9D" w:rsidRDefault="00AC7F9D" w:rsidP="00AC7F9D">
            <w:pPr>
              <w:pStyle w:val="ListParagraph"/>
              <w:numPr>
                <w:ilvl w:val="0"/>
                <w:numId w:val="21"/>
              </w:numPr>
              <w:spacing w:after="0" w:line="240" w:lineRule="auto"/>
              <w:jc w:val="both"/>
              <w:rPr>
                <w:szCs w:val="28"/>
              </w:rPr>
            </w:pPr>
            <w:r w:rsidRPr="00AC7F9D">
              <w:rPr>
                <w:szCs w:val="28"/>
              </w:rPr>
              <w:t>NCPA (II )Copies were disseminated to all Councils of Coast and Morogoro Regions and to the ALART Members in Tanga. In order to increase the capacity on protecting children</w:t>
            </w:r>
          </w:p>
          <w:p w:rsidR="00AC7F9D" w:rsidRPr="00AC7F9D" w:rsidRDefault="00AC7F9D" w:rsidP="00AC7F9D">
            <w:pPr>
              <w:pStyle w:val="ListParagraph"/>
              <w:numPr>
                <w:ilvl w:val="0"/>
                <w:numId w:val="21"/>
              </w:numPr>
              <w:spacing w:after="0" w:line="240" w:lineRule="auto"/>
              <w:jc w:val="both"/>
              <w:rPr>
                <w:szCs w:val="28"/>
              </w:rPr>
            </w:pPr>
            <w:r>
              <w:rPr>
                <w:szCs w:val="28"/>
              </w:rPr>
              <w:t xml:space="preserve"> 15 </w:t>
            </w:r>
            <w:r w:rsidRPr="00AC7F9D">
              <w:rPr>
                <w:szCs w:val="28"/>
              </w:rPr>
              <w:t>National Team members and some CP  implementing partners were oriented on the guidelines for  the Child Protection Management Information Systems(CPMIS) .</w:t>
            </w:r>
          </w:p>
          <w:p w:rsidR="00AC7F9D" w:rsidRPr="00AC7F9D" w:rsidRDefault="00AC7F9D" w:rsidP="00AC7F9D">
            <w:pPr>
              <w:pStyle w:val="ListParagraph"/>
              <w:numPr>
                <w:ilvl w:val="0"/>
                <w:numId w:val="21"/>
              </w:numPr>
              <w:suppressAutoHyphens w:val="0"/>
              <w:spacing w:after="0" w:line="240" w:lineRule="auto"/>
              <w:rPr>
                <w:szCs w:val="28"/>
              </w:rPr>
            </w:pPr>
            <w:r w:rsidRPr="00AC7F9D">
              <w:rPr>
                <w:szCs w:val="28"/>
              </w:rPr>
              <w:t>A Road Map for development of the National MVC Guidelines for House Hold Economic Strengthening (HES) was developed and the guideline draft has been finalized ready for inputs from MVC Key Ministries.</w:t>
            </w:r>
          </w:p>
          <w:p w:rsidR="00AC7F9D" w:rsidRPr="00AC7F9D" w:rsidRDefault="00AC7F9D" w:rsidP="00AC7F9D">
            <w:pPr>
              <w:pStyle w:val="ListParagraph"/>
              <w:numPr>
                <w:ilvl w:val="0"/>
                <w:numId w:val="21"/>
              </w:numPr>
              <w:suppressAutoHyphens w:val="0"/>
              <w:spacing w:after="0" w:line="240" w:lineRule="auto"/>
              <w:rPr>
                <w:szCs w:val="28"/>
              </w:rPr>
            </w:pPr>
            <w:r w:rsidRPr="00AC7F9D">
              <w:rPr>
                <w:szCs w:val="28"/>
              </w:rPr>
              <w:t xml:space="preserve">14 days training on CP was conducted to 39 SWOs from the LGAs and regions implementing Child Protection Systems Strengthening program (CPSS). </w:t>
            </w:r>
          </w:p>
          <w:p w:rsidR="00AC7F9D" w:rsidRPr="00AC7F9D" w:rsidRDefault="00AC7F9D" w:rsidP="00AC7F9D">
            <w:pPr>
              <w:pStyle w:val="ListParagraph"/>
              <w:numPr>
                <w:ilvl w:val="0"/>
                <w:numId w:val="21"/>
              </w:numPr>
              <w:suppressAutoHyphens w:val="0"/>
              <w:spacing w:after="0" w:line="240" w:lineRule="auto"/>
              <w:rPr>
                <w:szCs w:val="28"/>
              </w:rPr>
            </w:pPr>
            <w:r w:rsidRPr="00AC7F9D">
              <w:rPr>
                <w:szCs w:val="28"/>
              </w:rPr>
              <w:t xml:space="preserve"> The Process finalizing development of the Communication Strategy for NCPA-II 2013-2017 is underway. </w:t>
            </w:r>
          </w:p>
          <w:p w:rsidR="0093285C" w:rsidRPr="00580D07" w:rsidRDefault="00AC7F9D" w:rsidP="00AC7F9D">
            <w:pPr>
              <w:pStyle w:val="ListParagraph"/>
              <w:numPr>
                <w:ilvl w:val="0"/>
                <w:numId w:val="21"/>
              </w:numPr>
              <w:suppressAutoHyphens w:val="0"/>
              <w:spacing w:after="0" w:line="240" w:lineRule="auto"/>
            </w:pPr>
            <w:r w:rsidRPr="00AC7F9D">
              <w:rPr>
                <w:szCs w:val="28"/>
              </w:rPr>
              <w:t>The Child Protection Training Manual was also developed, pre tested and 15 persons trained as TOTs as National Team</w:t>
            </w:r>
          </w:p>
        </w:tc>
      </w:tr>
    </w:tbl>
    <w:p w:rsidR="00600B74" w:rsidRDefault="00600B74">
      <w:r>
        <w:br w:type="page"/>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0"/>
        <w:gridCol w:w="3665"/>
        <w:gridCol w:w="10119"/>
      </w:tblGrid>
      <w:tr w:rsidR="002766F2" w:rsidRPr="00691D6D" w:rsidTr="00947346">
        <w:trPr>
          <w:cantSplit/>
          <w:trHeight w:val="179"/>
          <w:tblHeader/>
          <w:jc w:val="center"/>
        </w:trPr>
        <w:tc>
          <w:tcPr>
            <w:tcW w:w="1830" w:type="dxa"/>
            <w:tcBorders>
              <w:bottom w:val="single" w:sz="4" w:space="0" w:color="auto"/>
            </w:tcBorders>
            <w:shd w:val="clear" w:color="auto" w:fill="BFBFBF" w:themeFill="background1" w:themeFillShade="BF"/>
            <w:vAlign w:val="center"/>
          </w:tcPr>
          <w:p w:rsidR="002766F2" w:rsidRPr="00580D07" w:rsidRDefault="002766F2" w:rsidP="00947346">
            <w:pPr>
              <w:spacing w:after="0" w:line="240" w:lineRule="auto"/>
              <w:jc w:val="center"/>
              <w:rPr>
                <w:b/>
                <w:bCs/>
              </w:rPr>
            </w:pPr>
            <w:r w:rsidRPr="00580D07">
              <w:rPr>
                <w:b/>
                <w:bCs/>
              </w:rPr>
              <w:lastRenderedPageBreak/>
              <w:t>TWG</w:t>
            </w:r>
          </w:p>
        </w:tc>
        <w:tc>
          <w:tcPr>
            <w:tcW w:w="3665" w:type="dxa"/>
            <w:shd w:val="clear" w:color="auto" w:fill="BFBFBF" w:themeFill="background1" w:themeFillShade="BF"/>
            <w:vAlign w:val="center"/>
          </w:tcPr>
          <w:p w:rsidR="002766F2" w:rsidRPr="00691D6D" w:rsidRDefault="002766F2" w:rsidP="00947346">
            <w:pPr>
              <w:spacing w:after="0" w:line="240" w:lineRule="auto"/>
              <w:jc w:val="center"/>
              <w:rPr>
                <w:b/>
                <w:bCs/>
              </w:rPr>
            </w:pPr>
            <w:r w:rsidRPr="00691D6D">
              <w:rPr>
                <w:b/>
                <w:bCs/>
              </w:rPr>
              <w:t>TC SWAp MILESTONE 2013/14</w:t>
            </w:r>
          </w:p>
        </w:tc>
        <w:tc>
          <w:tcPr>
            <w:tcW w:w="10119" w:type="dxa"/>
            <w:shd w:val="clear" w:color="auto" w:fill="BFBFBF" w:themeFill="background1" w:themeFillShade="BF"/>
            <w:vAlign w:val="center"/>
          </w:tcPr>
          <w:p w:rsidR="002766F2" w:rsidRPr="00691D6D" w:rsidRDefault="002766F2" w:rsidP="00947346">
            <w:pPr>
              <w:spacing w:after="0" w:line="240" w:lineRule="auto"/>
              <w:jc w:val="center"/>
              <w:rPr>
                <w:b/>
                <w:bCs/>
              </w:rPr>
            </w:pPr>
            <w:r>
              <w:rPr>
                <w:b/>
                <w:bCs/>
              </w:rPr>
              <w:t xml:space="preserve">Status </w:t>
            </w:r>
            <w:r w:rsidRPr="00691D6D">
              <w:rPr>
                <w:b/>
                <w:bCs/>
              </w:rPr>
              <w:t>Update</w:t>
            </w:r>
          </w:p>
        </w:tc>
      </w:tr>
      <w:tr w:rsidR="00381E5C" w:rsidRPr="00580D07" w:rsidTr="00803AA8">
        <w:trPr>
          <w:trHeight w:val="795"/>
          <w:jc w:val="center"/>
        </w:trPr>
        <w:tc>
          <w:tcPr>
            <w:tcW w:w="1830" w:type="dxa"/>
            <w:tcBorders>
              <w:bottom w:val="single" w:sz="4" w:space="0" w:color="auto"/>
              <w:right w:val="single" w:sz="4" w:space="0" w:color="auto"/>
            </w:tcBorders>
            <w:shd w:val="clear" w:color="auto" w:fill="auto"/>
          </w:tcPr>
          <w:p w:rsidR="00381E5C" w:rsidRDefault="00381E5C" w:rsidP="00422099">
            <w:pPr>
              <w:spacing w:after="0" w:line="240" w:lineRule="auto"/>
              <w:rPr>
                <w:b/>
                <w:bCs/>
              </w:rPr>
            </w:pPr>
            <w:r>
              <w:rPr>
                <w:b/>
                <w:bCs/>
              </w:rPr>
              <w:t>TWG 10</w:t>
            </w:r>
          </w:p>
          <w:p w:rsidR="00381E5C" w:rsidRPr="00580D07" w:rsidRDefault="00381E5C" w:rsidP="00422099">
            <w:pPr>
              <w:spacing w:after="0" w:line="240" w:lineRule="auto"/>
              <w:rPr>
                <w:b/>
                <w:bCs/>
              </w:rPr>
            </w:pPr>
            <w:r>
              <w:rPr>
                <w:b/>
                <w:bCs/>
              </w:rPr>
              <w:t>Monitoring &amp; Evaluation</w:t>
            </w:r>
          </w:p>
        </w:tc>
        <w:tc>
          <w:tcPr>
            <w:tcW w:w="3665" w:type="dxa"/>
            <w:tcBorders>
              <w:top w:val="single" w:sz="4" w:space="0" w:color="auto"/>
              <w:left w:val="single" w:sz="4" w:space="0" w:color="auto"/>
              <w:bottom w:val="single" w:sz="4" w:space="0" w:color="auto"/>
              <w:right w:val="single" w:sz="4" w:space="0" w:color="auto"/>
            </w:tcBorders>
            <w:shd w:val="clear" w:color="auto" w:fill="auto"/>
          </w:tcPr>
          <w:p w:rsidR="00381E5C" w:rsidRPr="00381E5C" w:rsidRDefault="00381E5C" w:rsidP="00381E5C">
            <w:pPr>
              <w:numPr>
                <w:ilvl w:val="0"/>
                <w:numId w:val="2"/>
              </w:numPr>
              <w:spacing w:after="0" w:line="240" w:lineRule="auto"/>
              <w:jc w:val="both"/>
              <w:rPr>
                <w:rFonts w:eastAsia="MS Mincho" w:cs="Arial"/>
                <w:lang w:eastAsia="ar-SA"/>
              </w:rPr>
            </w:pPr>
            <w:r w:rsidRPr="00381E5C">
              <w:rPr>
                <w:rFonts w:cs="Arial"/>
              </w:rPr>
              <w:t>Timely reporting of HMIS districts health service data including HRH, HIV/AIDS, TB and Malaria are channelled through DHIS2- MTUHA database for production of Health Sector Performance Profile, CCHP indicators, GBS and Health Statistical Tables and Figures</w:t>
            </w:r>
          </w:p>
        </w:tc>
        <w:tc>
          <w:tcPr>
            <w:tcW w:w="10119" w:type="dxa"/>
            <w:tcBorders>
              <w:top w:val="single" w:sz="4" w:space="0" w:color="auto"/>
              <w:left w:val="single" w:sz="4" w:space="0" w:color="auto"/>
              <w:bottom w:val="single" w:sz="4" w:space="0" w:color="auto"/>
              <w:right w:val="single" w:sz="4" w:space="0" w:color="auto"/>
            </w:tcBorders>
            <w:shd w:val="clear" w:color="auto" w:fill="auto"/>
          </w:tcPr>
          <w:p w:rsidR="001C7DFE" w:rsidRPr="00D60274" w:rsidRDefault="001C7DFE" w:rsidP="00DE247F">
            <w:pPr>
              <w:pStyle w:val="ListParagraph"/>
              <w:numPr>
                <w:ilvl w:val="0"/>
                <w:numId w:val="42"/>
              </w:numPr>
              <w:suppressAutoHyphens w:val="0"/>
              <w:spacing w:line="240" w:lineRule="auto"/>
              <w:ind w:left="317"/>
              <w:rPr>
                <w:rFonts w:eastAsiaTheme="minorHAnsi"/>
              </w:rPr>
            </w:pPr>
            <w:r w:rsidRPr="00D60274">
              <w:t xml:space="preserve">Integration of HRH,  HIV/AIDS, TB, Malaria and PMTCT  into DHIS2-MTUHA reporting system  has been finalized. The HMIS team together with UDSM has been working with the vertical programs to integrate their reporting forms. Specifically, the malaria form has been implemented in the DHIS and data flows from DHIS2 currently. The TB/HIV/AIDS and the HRH has also been integrated into the routine HMIS. </w:t>
            </w:r>
          </w:p>
          <w:p w:rsidR="001C7DFE" w:rsidRPr="00D60274" w:rsidRDefault="001C7DFE" w:rsidP="00DE247F">
            <w:pPr>
              <w:pStyle w:val="ListParagraph"/>
              <w:numPr>
                <w:ilvl w:val="0"/>
                <w:numId w:val="42"/>
              </w:numPr>
              <w:suppressAutoHyphens w:val="0"/>
              <w:spacing w:line="240" w:lineRule="auto"/>
              <w:ind w:left="317"/>
              <w:rPr>
                <w:rFonts w:eastAsia="Times New Roman"/>
                <w:sz w:val="20"/>
                <w:szCs w:val="20"/>
              </w:rPr>
            </w:pPr>
            <w:r w:rsidRPr="00D60274">
              <w:t>Countrywide ongoing DHIS2 training to the vertical program coordinators at regional and district levels for new data set forms that have been added in the system so that they can start entering data into the system. Some of those new forms are: TB&amp;LP_TB07_Tuberculosis and TB/HIV, TB&amp;LP_TB09_Tuberculosis and TB/HIV, TB&amp;LP_LEP10 Annual Report on Prevention of Disability, TB&amp;LP_LEP07 case notification report of leprosy and NACP Cohort Reporting Form. Complete number of trained staff will be established after the trainings are finalized end of October 2014.</w:t>
            </w:r>
          </w:p>
          <w:p w:rsidR="001C7DFE" w:rsidRPr="00D60274" w:rsidRDefault="001C7DFE" w:rsidP="00DE247F">
            <w:pPr>
              <w:pStyle w:val="ListParagraph"/>
              <w:numPr>
                <w:ilvl w:val="0"/>
                <w:numId w:val="42"/>
              </w:numPr>
              <w:suppressAutoHyphens w:val="0"/>
              <w:spacing w:after="0" w:line="240" w:lineRule="auto"/>
              <w:ind w:left="312" w:hanging="357"/>
            </w:pPr>
            <w:r w:rsidRPr="00D60274">
              <w:t>Finalized the DHIS2 training to the entire 19 regions of the second roll out whereby a total of 609 people were trained. The DHIS2 training for the vertical programs also is I progress and at final stages where the entire vertical programs are oriented on their forms. These include, TB, malaria and HIV. Data entry is ongoing up to current moment and this will strengthen the mechanism for  timely reporting of  the  Introduced new revised MTUHA tools from health facilities and  DHIS2 database to councils. The team has noted that regular supportive supervision is very important and needs to be conducted as a continuous coaching and mentoring process to improve DHIS2 data.</w:t>
            </w:r>
          </w:p>
          <w:p w:rsidR="001C7DFE" w:rsidRPr="00D60274" w:rsidRDefault="001C7DFE" w:rsidP="00DE247F">
            <w:pPr>
              <w:numPr>
                <w:ilvl w:val="0"/>
                <w:numId w:val="42"/>
              </w:numPr>
              <w:spacing w:after="0" w:line="240" w:lineRule="auto"/>
              <w:ind w:left="317"/>
              <w:contextualSpacing/>
            </w:pPr>
            <w:r w:rsidRPr="00D60274">
              <w:t>Also, the M &amp; E teams have been strengthened as DHIS2 experts. The RMO, DMO, the RCH coordinators, Data Clerk and the HMIS focal persons have been trained on DHIS2 for all regions. This makes a total of 166 Districts with their team being oriented by end of December 2013. Data flow from the districts are at 83.5% (April – June 2014), above the reporting target of 80% for 21 of 25 regions.</w:t>
            </w:r>
          </w:p>
          <w:p w:rsidR="001C7DFE" w:rsidRPr="00D60274" w:rsidRDefault="001C7DFE" w:rsidP="00DE247F">
            <w:pPr>
              <w:pStyle w:val="ListParagraph"/>
              <w:numPr>
                <w:ilvl w:val="0"/>
                <w:numId w:val="42"/>
              </w:numPr>
              <w:suppressAutoHyphens w:val="0"/>
              <w:spacing w:after="0" w:line="240" w:lineRule="auto"/>
              <w:ind w:left="317"/>
            </w:pPr>
            <w:r w:rsidRPr="00D60274">
              <w:t xml:space="preserve">All regions enter HMIS data collected from facilities. Data validation and accuracy is done onsite during the data entry at the facility (primary data collection point) and DHIS2 training and data are entered. The data from April to June 2014 shows reporting levels at 83.5%. At the end of June 2014, Antenatal (ANC) was leading at 91.4% followed by Family Planning (FP) at 90.9% and then Labor &amp; Delivery 90.3% while Tracer Medicine was the lowest at 73.2%.  Simiyu was the leading region with a reporting rate of 96.1%, followed by Singida at 96.0% and then Pwani at 95%. </w:t>
            </w:r>
          </w:p>
          <w:p w:rsidR="001C7DFE" w:rsidRPr="00D60274" w:rsidRDefault="001C7DFE" w:rsidP="00DE247F">
            <w:pPr>
              <w:pStyle w:val="ListParagraph"/>
              <w:numPr>
                <w:ilvl w:val="0"/>
                <w:numId w:val="42"/>
              </w:numPr>
              <w:suppressAutoHyphens w:val="0"/>
              <w:spacing w:after="0" w:line="240" w:lineRule="auto"/>
              <w:ind w:left="317"/>
              <w:rPr>
                <w:lang w:val="en-US"/>
              </w:rPr>
            </w:pPr>
            <w:r w:rsidRPr="00D60274">
              <w:t xml:space="preserve">The HMIS team worked with UDSM to implement the Supportive Supervision tool in DHIS2.  And completed the Supportive Supervision visits during July-August 2014 to 8 regions.  </w:t>
            </w:r>
            <w:r w:rsidR="00600B74">
              <w:t>S</w:t>
            </w:r>
            <w:r w:rsidRPr="00D60274">
              <w:t xml:space="preserve">ummary results are being documented. The plan is to complete SS visits to </w:t>
            </w:r>
            <w:r w:rsidR="00600B74">
              <w:t>17 regions during November/</w:t>
            </w:r>
            <w:r w:rsidRPr="00D60274">
              <w:t>December 2014.</w:t>
            </w:r>
          </w:p>
          <w:p w:rsidR="00381E5C" w:rsidRPr="00D60274" w:rsidRDefault="001C7DFE" w:rsidP="00DE247F">
            <w:pPr>
              <w:pStyle w:val="ListParagraph"/>
              <w:numPr>
                <w:ilvl w:val="0"/>
                <w:numId w:val="42"/>
              </w:numPr>
              <w:suppressAutoHyphens w:val="0"/>
              <w:spacing w:after="0" w:line="240" w:lineRule="auto"/>
              <w:ind w:left="317"/>
              <w:rPr>
                <w:lang w:val="en-US"/>
              </w:rPr>
            </w:pPr>
            <w:r w:rsidRPr="00D60274">
              <w:t>The procurement process of the computers for regional and district hospitals is at the final stage with plans to procure the 189 computers during November- December 2014. The phase two of the GF will ensure the distribution of the desktop computers to 164 district hospitals and the 25 regional hospitals along with airtime modems. Currently awaiting the procurement and can start training after computers are procured.</w:t>
            </w:r>
          </w:p>
        </w:tc>
      </w:tr>
      <w:tr w:rsidR="001C7DFE" w:rsidRPr="00580D07" w:rsidTr="00803AA8">
        <w:trPr>
          <w:trHeight w:val="795"/>
          <w:jc w:val="center"/>
        </w:trPr>
        <w:tc>
          <w:tcPr>
            <w:tcW w:w="1830" w:type="dxa"/>
            <w:vMerge w:val="restart"/>
            <w:tcBorders>
              <w:top w:val="single" w:sz="4" w:space="0" w:color="auto"/>
              <w:right w:val="single" w:sz="4" w:space="0" w:color="auto"/>
            </w:tcBorders>
            <w:shd w:val="clear" w:color="auto" w:fill="auto"/>
          </w:tcPr>
          <w:p w:rsidR="001C7DFE" w:rsidRPr="00580D07" w:rsidRDefault="001C7DFE" w:rsidP="00422099">
            <w:pPr>
              <w:spacing w:after="0" w:line="240" w:lineRule="auto"/>
              <w:rPr>
                <w:b/>
                <w:bCs/>
              </w:rPr>
            </w:pPr>
            <w:r w:rsidRPr="00580D07">
              <w:rPr>
                <w:b/>
                <w:bCs/>
              </w:rPr>
              <w:lastRenderedPageBreak/>
              <w:t>TWG 11</w:t>
            </w:r>
          </w:p>
          <w:p w:rsidR="001C7DFE" w:rsidRPr="00580D07" w:rsidRDefault="001C7DFE" w:rsidP="00422099">
            <w:pPr>
              <w:spacing w:after="0" w:line="240" w:lineRule="auto"/>
              <w:rPr>
                <w:b/>
                <w:bCs/>
              </w:rPr>
            </w:pPr>
            <w:r w:rsidRPr="00580D07">
              <w:rPr>
                <w:b/>
                <w:bCs/>
              </w:rPr>
              <w:t xml:space="preserve">Pharmaceuticals </w:t>
            </w:r>
          </w:p>
        </w:tc>
        <w:tc>
          <w:tcPr>
            <w:tcW w:w="3665" w:type="dxa"/>
            <w:vMerge w:val="restart"/>
            <w:tcBorders>
              <w:top w:val="single" w:sz="4" w:space="0" w:color="auto"/>
              <w:left w:val="single" w:sz="4" w:space="0" w:color="auto"/>
              <w:right w:val="single" w:sz="4" w:space="0" w:color="auto"/>
            </w:tcBorders>
            <w:shd w:val="clear" w:color="auto" w:fill="auto"/>
          </w:tcPr>
          <w:p w:rsidR="001C7DFE" w:rsidRDefault="001C7DFE" w:rsidP="00A5045F">
            <w:pPr>
              <w:numPr>
                <w:ilvl w:val="0"/>
                <w:numId w:val="2"/>
              </w:numPr>
              <w:spacing w:after="0" w:line="240" w:lineRule="auto"/>
              <w:ind w:left="297"/>
              <w:rPr>
                <w:lang w:val="en-US"/>
              </w:rPr>
            </w:pPr>
            <w:r w:rsidRPr="00580D07">
              <w:rPr>
                <w:lang w:val="en-US"/>
              </w:rPr>
              <w:t xml:space="preserve">LGA good practices and approaches in management and governance of medicines mapped, documented and disseminated </w:t>
            </w:r>
          </w:p>
          <w:p w:rsidR="001C7DFE" w:rsidRDefault="001C7DFE" w:rsidP="00A5045F">
            <w:pPr>
              <w:spacing w:after="0" w:line="240" w:lineRule="auto"/>
              <w:rPr>
                <w:lang w:val="en-US"/>
              </w:rPr>
            </w:pPr>
          </w:p>
          <w:p w:rsidR="001C7DFE" w:rsidRDefault="001C7DFE" w:rsidP="00A5045F">
            <w:pPr>
              <w:spacing w:after="0" w:line="240" w:lineRule="auto"/>
              <w:rPr>
                <w:lang w:val="en-US"/>
              </w:rPr>
            </w:pPr>
          </w:p>
          <w:p w:rsidR="001C7DFE" w:rsidRDefault="001C7DFE" w:rsidP="00A5045F">
            <w:pPr>
              <w:spacing w:after="0" w:line="240" w:lineRule="auto"/>
              <w:rPr>
                <w:lang w:val="en-US"/>
              </w:rPr>
            </w:pPr>
          </w:p>
          <w:p w:rsidR="001C7DFE" w:rsidRDefault="001C7DFE" w:rsidP="00A5045F">
            <w:pPr>
              <w:spacing w:after="0" w:line="240" w:lineRule="auto"/>
              <w:rPr>
                <w:lang w:val="en-US"/>
              </w:rPr>
            </w:pPr>
          </w:p>
          <w:p w:rsidR="001C7DFE" w:rsidRDefault="001C7DFE" w:rsidP="00A5045F">
            <w:pPr>
              <w:spacing w:after="0" w:line="240" w:lineRule="auto"/>
              <w:rPr>
                <w:lang w:val="en-US"/>
              </w:rPr>
            </w:pPr>
          </w:p>
          <w:p w:rsidR="001C7DFE" w:rsidRDefault="001C7DFE" w:rsidP="00A5045F">
            <w:pPr>
              <w:spacing w:after="0" w:line="240" w:lineRule="auto"/>
              <w:rPr>
                <w:lang w:val="en-US"/>
              </w:rPr>
            </w:pPr>
          </w:p>
          <w:p w:rsidR="001C7DFE" w:rsidRDefault="001C7DFE" w:rsidP="00A5045F">
            <w:pPr>
              <w:spacing w:after="0" w:line="240" w:lineRule="auto"/>
              <w:rPr>
                <w:lang w:val="en-US"/>
              </w:rPr>
            </w:pPr>
          </w:p>
          <w:p w:rsidR="001C7DFE" w:rsidRDefault="001C7DFE" w:rsidP="00A5045F">
            <w:pPr>
              <w:spacing w:after="0" w:line="240" w:lineRule="auto"/>
              <w:rPr>
                <w:lang w:val="en-US"/>
              </w:rPr>
            </w:pPr>
          </w:p>
          <w:p w:rsidR="001C7DFE" w:rsidRDefault="001C7DFE" w:rsidP="00A5045F">
            <w:pPr>
              <w:spacing w:after="0" w:line="240" w:lineRule="auto"/>
              <w:rPr>
                <w:lang w:val="en-US"/>
              </w:rPr>
            </w:pPr>
          </w:p>
          <w:p w:rsidR="001C7DFE" w:rsidRPr="00580D07" w:rsidRDefault="001C7DFE" w:rsidP="00A5045F">
            <w:pPr>
              <w:spacing w:after="0" w:line="240" w:lineRule="auto"/>
              <w:rPr>
                <w:lang w:val="en-US"/>
              </w:rPr>
            </w:pPr>
          </w:p>
          <w:p w:rsidR="001C7DFE" w:rsidRPr="00580D07" w:rsidRDefault="001C7DFE" w:rsidP="00A5045F">
            <w:pPr>
              <w:numPr>
                <w:ilvl w:val="0"/>
                <w:numId w:val="2"/>
              </w:numPr>
              <w:spacing w:line="240" w:lineRule="auto"/>
              <w:ind w:left="297"/>
              <w:rPr>
                <w:lang w:val="en-US"/>
              </w:rPr>
            </w:pPr>
            <w:r w:rsidRPr="00580D07">
              <w:rPr>
                <w:lang w:val="en-US"/>
              </w:rPr>
              <w:t>Improved transparency and accountability for resources allocated for medicines, to ensure at least 80% availability at health facilities and access by the community</w:t>
            </w:r>
          </w:p>
        </w:tc>
        <w:tc>
          <w:tcPr>
            <w:tcW w:w="10119" w:type="dxa"/>
            <w:tcBorders>
              <w:top w:val="single" w:sz="4" w:space="0" w:color="auto"/>
              <w:left w:val="single" w:sz="4" w:space="0" w:color="auto"/>
              <w:bottom w:val="dotted" w:sz="4" w:space="0" w:color="auto"/>
              <w:right w:val="dotted" w:sz="4" w:space="0" w:color="auto"/>
            </w:tcBorders>
            <w:shd w:val="clear" w:color="auto" w:fill="auto"/>
          </w:tcPr>
          <w:p w:rsidR="001C7DFE" w:rsidRDefault="001C7DFE" w:rsidP="007C0223">
            <w:pPr>
              <w:numPr>
                <w:ilvl w:val="0"/>
                <w:numId w:val="36"/>
              </w:numPr>
              <w:spacing w:after="0" w:line="240" w:lineRule="auto"/>
              <w:rPr>
                <w:lang w:val="en-US"/>
              </w:rPr>
            </w:pPr>
            <w:r w:rsidRPr="00D7642C">
              <w:rPr>
                <w:lang w:val="en-US"/>
              </w:rPr>
              <w:t>The draft tool kit for best practices of medicines management and governance in council health facilities is in place, documentation of best practices in medicines management and governance had involved stakeholder consultative meeting held in Dodoma September 2013 (MOHSW, PMO-RALG, Iramba DC, Kongwa DC, Tanga region, Health System Strengthening Project –Dodoma). Furthermore a field visit to district councils and health facilities  in the respective councils were done, those included: Muleba, Nachingwea  and Lushoto DCs</w:t>
            </w:r>
            <w:r>
              <w:rPr>
                <w:lang w:val="en-US"/>
              </w:rPr>
              <w:t>.</w:t>
            </w:r>
          </w:p>
          <w:p w:rsidR="001C7DFE" w:rsidRPr="00D7642C" w:rsidRDefault="001C7DFE" w:rsidP="007C0223">
            <w:pPr>
              <w:numPr>
                <w:ilvl w:val="0"/>
                <w:numId w:val="36"/>
              </w:numPr>
              <w:spacing w:after="0" w:line="240" w:lineRule="auto"/>
              <w:rPr>
                <w:lang w:val="en-US"/>
              </w:rPr>
            </w:pPr>
            <w:r w:rsidRPr="00D7642C">
              <w:rPr>
                <w:lang w:val="en-US"/>
              </w:rPr>
              <w:t xml:space="preserve">The stakeholders meeting (MOHSW, PMO-RALG, JSI, MSD, WHO –Representative, Health System Strengthening Project -Dodoma, Regions and Districts Council representatives) was convened  on 16-21/05/2014 in Dodoma for review and finalization of the tool kit. Sensitization of the council teams, training of assessment teams and implementation </w:t>
            </w:r>
            <w:r>
              <w:rPr>
                <w:lang w:val="en-US"/>
              </w:rPr>
              <w:t xml:space="preserve">startedend of </w:t>
            </w:r>
            <w:r w:rsidRPr="00D7642C">
              <w:rPr>
                <w:lang w:val="en-US"/>
              </w:rPr>
              <w:t>July 2014</w:t>
            </w:r>
            <w:r>
              <w:rPr>
                <w:lang w:val="en-US"/>
              </w:rPr>
              <w:t xml:space="preserve">with </w:t>
            </w:r>
            <w:r w:rsidRPr="00D7642C">
              <w:rPr>
                <w:lang w:val="en-US"/>
              </w:rPr>
              <w:t>pre-test</w:t>
            </w:r>
            <w:r>
              <w:rPr>
                <w:lang w:val="en-US"/>
              </w:rPr>
              <w:t>ing</w:t>
            </w:r>
            <w:r w:rsidRPr="00D7642C">
              <w:rPr>
                <w:lang w:val="en-US"/>
              </w:rPr>
              <w:t>in  Mkuranga DC</w:t>
            </w:r>
            <w:r>
              <w:rPr>
                <w:lang w:val="en-US"/>
              </w:rPr>
              <w:t>. The toolkit was</w:t>
            </w:r>
            <w:r w:rsidRPr="00D7642C">
              <w:rPr>
                <w:lang w:val="en-US"/>
              </w:rPr>
              <w:t xml:space="preserve"> updat</w:t>
            </w:r>
            <w:r>
              <w:rPr>
                <w:lang w:val="en-US"/>
              </w:rPr>
              <w:t xml:space="preserve">ed, </w:t>
            </w:r>
            <w:r w:rsidRPr="00D7642C">
              <w:rPr>
                <w:lang w:val="en-US"/>
              </w:rPr>
              <w:t xml:space="preserve">and </w:t>
            </w:r>
            <w:r>
              <w:rPr>
                <w:lang w:val="en-US"/>
              </w:rPr>
              <w:t xml:space="preserve">now awaits </w:t>
            </w:r>
            <w:r w:rsidRPr="00D7642C">
              <w:rPr>
                <w:lang w:val="en-US"/>
              </w:rPr>
              <w:t>present</w:t>
            </w:r>
            <w:r>
              <w:rPr>
                <w:lang w:val="en-US"/>
              </w:rPr>
              <w:t>ation</w:t>
            </w:r>
            <w:r w:rsidRPr="00D7642C">
              <w:rPr>
                <w:lang w:val="en-US"/>
              </w:rPr>
              <w:t xml:space="preserve"> to the Ministry </w:t>
            </w:r>
            <w:r>
              <w:rPr>
                <w:lang w:val="en-US"/>
              </w:rPr>
              <w:t xml:space="preserve">(MOHSW and PMORALG) </w:t>
            </w:r>
            <w:r w:rsidRPr="00D7642C">
              <w:rPr>
                <w:lang w:val="en-US"/>
              </w:rPr>
              <w:t>mana</w:t>
            </w:r>
            <w:r>
              <w:rPr>
                <w:lang w:val="en-US"/>
              </w:rPr>
              <w:t xml:space="preserve">gement before rolling out into </w:t>
            </w:r>
            <w:r w:rsidRPr="00D7642C">
              <w:rPr>
                <w:lang w:val="en-US"/>
              </w:rPr>
              <w:t>16 other councils. Limited budget for scaling up to the rest of the councils remained a foreseeable challenge to timely implementation.</w:t>
            </w:r>
          </w:p>
          <w:p w:rsidR="001C7DFE" w:rsidRPr="00F56E18" w:rsidRDefault="001C7DFE" w:rsidP="007C0223">
            <w:pPr>
              <w:numPr>
                <w:ilvl w:val="0"/>
                <w:numId w:val="36"/>
              </w:numPr>
              <w:spacing w:after="0" w:line="240" w:lineRule="auto"/>
              <w:rPr>
                <w:lang w:val="en-US"/>
              </w:rPr>
            </w:pPr>
            <w:r>
              <w:rPr>
                <w:lang w:val="en-US"/>
              </w:rPr>
              <w:t>There is need for a budget line item in CCHP to cover the operationalization costs and facilitation support from PSS so as to help to expedite coverage of all councils within reasonable f time.</w:t>
            </w:r>
          </w:p>
        </w:tc>
      </w:tr>
      <w:tr w:rsidR="001C7DFE" w:rsidRPr="00580D07" w:rsidTr="00803AA8">
        <w:trPr>
          <w:trHeight w:val="810"/>
          <w:jc w:val="center"/>
        </w:trPr>
        <w:tc>
          <w:tcPr>
            <w:tcW w:w="1830" w:type="dxa"/>
            <w:vMerge/>
            <w:tcBorders>
              <w:bottom w:val="single" w:sz="4" w:space="0" w:color="auto"/>
              <w:right w:val="single" w:sz="4" w:space="0" w:color="auto"/>
            </w:tcBorders>
            <w:shd w:val="clear" w:color="auto" w:fill="auto"/>
          </w:tcPr>
          <w:p w:rsidR="001C7DFE" w:rsidRPr="00580D07" w:rsidRDefault="001C7DFE" w:rsidP="00422099">
            <w:pPr>
              <w:spacing w:after="0" w:line="240" w:lineRule="auto"/>
              <w:rPr>
                <w:b/>
                <w:bCs/>
              </w:rPr>
            </w:pPr>
          </w:p>
        </w:tc>
        <w:tc>
          <w:tcPr>
            <w:tcW w:w="3665" w:type="dxa"/>
            <w:vMerge/>
            <w:tcBorders>
              <w:left w:val="single" w:sz="4" w:space="0" w:color="auto"/>
              <w:right w:val="single" w:sz="4" w:space="0" w:color="auto"/>
            </w:tcBorders>
            <w:shd w:val="clear" w:color="auto" w:fill="auto"/>
          </w:tcPr>
          <w:p w:rsidR="001C7DFE" w:rsidRPr="00580D07" w:rsidRDefault="001C7DFE" w:rsidP="00422099">
            <w:pPr>
              <w:numPr>
                <w:ilvl w:val="0"/>
                <w:numId w:val="2"/>
              </w:numPr>
              <w:spacing w:after="0" w:line="240" w:lineRule="auto"/>
              <w:ind w:left="297"/>
              <w:rPr>
                <w:lang w:val="en-US"/>
              </w:rPr>
            </w:pPr>
          </w:p>
        </w:tc>
        <w:tc>
          <w:tcPr>
            <w:tcW w:w="10119" w:type="dxa"/>
            <w:tcBorders>
              <w:top w:val="dotted" w:sz="4" w:space="0" w:color="auto"/>
              <w:left w:val="single" w:sz="4" w:space="0" w:color="auto"/>
            </w:tcBorders>
            <w:shd w:val="clear" w:color="auto" w:fill="auto"/>
          </w:tcPr>
          <w:p w:rsidR="001C7DFE" w:rsidRPr="00580D07" w:rsidRDefault="001C7DFE" w:rsidP="007C0223">
            <w:pPr>
              <w:numPr>
                <w:ilvl w:val="0"/>
                <w:numId w:val="19"/>
              </w:numPr>
              <w:spacing w:after="0" w:line="240" w:lineRule="auto"/>
              <w:rPr>
                <w:lang w:val="en-US"/>
              </w:rPr>
            </w:pPr>
            <w:r>
              <w:rPr>
                <w:lang w:val="en-US"/>
              </w:rPr>
              <w:t>The draft document to promote open governance on collection of revenue and regular performance medicines audit of HFs has been prepared and sandwiched with best practices in medicines management and governance. It will simultaneously be implemented altogether with medicines management and governance implementation. Monitoring of availability has been embedded in HMIS reporting in terms of the indicator “percentage of facilities having 80% (8 out of 10) HMIS tracer medicines, and “mean number of tracer medicines available per council”.</w:t>
            </w:r>
          </w:p>
        </w:tc>
      </w:tr>
    </w:tbl>
    <w:p w:rsidR="00600B74" w:rsidRDefault="00600B74">
      <w:r>
        <w:br w:type="page"/>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0"/>
        <w:gridCol w:w="3665"/>
        <w:gridCol w:w="10119"/>
      </w:tblGrid>
      <w:tr w:rsidR="002766F2" w:rsidRPr="00691D6D" w:rsidTr="00947346">
        <w:trPr>
          <w:cantSplit/>
          <w:trHeight w:val="179"/>
          <w:tblHeader/>
          <w:jc w:val="center"/>
        </w:trPr>
        <w:tc>
          <w:tcPr>
            <w:tcW w:w="1830" w:type="dxa"/>
            <w:tcBorders>
              <w:bottom w:val="single" w:sz="4" w:space="0" w:color="auto"/>
            </w:tcBorders>
            <w:shd w:val="clear" w:color="auto" w:fill="BFBFBF" w:themeFill="background1" w:themeFillShade="BF"/>
            <w:vAlign w:val="center"/>
          </w:tcPr>
          <w:p w:rsidR="002766F2" w:rsidRPr="00580D07" w:rsidRDefault="002766F2" w:rsidP="00947346">
            <w:pPr>
              <w:spacing w:after="0" w:line="240" w:lineRule="auto"/>
              <w:jc w:val="center"/>
              <w:rPr>
                <w:b/>
                <w:bCs/>
              </w:rPr>
            </w:pPr>
            <w:r w:rsidRPr="00580D07">
              <w:rPr>
                <w:b/>
                <w:bCs/>
              </w:rPr>
              <w:lastRenderedPageBreak/>
              <w:t>TWG</w:t>
            </w:r>
          </w:p>
        </w:tc>
        <w:tc>
          <w:tcPr>
            <w:tcW w:w="3665" w:type="dxa"/>
            <w:shd w:val="clear" w:color="auto" w:fill="BFBFBF" w:themeFill="background1" w:themeFillShade="BF"/>
            <w:vAlign w:val="center"/>
          </w:tcPr>
          <w:p w:rsidR="002766F2" w:rsidRPr="00691D6D" w:rsidRDefault="002766F2" w:rsidP="00947346">
            <w:pPr>
              <w:spacing w:after="0" w:line="240" w:lineRule="auto"/>
              <w:jc w:val="center"/>
              <w:rPr>
                <w:b/>
                <w:bCs/>
              </w:rPr>
            </w:pPr>
            <w:r w:rsidRPr="00691D6D">
              <w:rPr>
                <w:b/>
                <w:bCs/>
              </w:rPr>
              <w:t>TC SWAp MILESTONE 2013/14</w:t>
            </w:r>
          </w:p>
        </w:tc>
        <w:tc>
          <w:tcPr>
            <w:tcW w:w="10119" w:type="dxa"/>
            <w:shd w:val="clear" w:color="auto" w:fill="BFBFBF" w:themeFill="background1" w:themeFillShade="BF"/>
            <w:vAlign w:val="center"/>
          </w:tcPr>
          <w:p w:rsidR="002766F2" w:rsidRPr="00691D6D" w:rsidRDefault="002766F2" w:rsidP="00947346">
            <w:pPr>
              <w:spacing w:after="0" w:line="240" w:lineRule="auto"/>
              <w:jc w:val="center"/>
              <w:rPr>
                <w:b/>
                <w:bCs/>
              </w:rPr>
            </w:pPr>
            <w:r>
              <w:rPr>
                <w:b/>
                <w:bCs/>
              </w:rPr>
              <w:t xml:space="preserve">Status </w:t>
            </w:r>
            <w:r w:rsidRPr="00691D6D">
              <w:rPr>
                <w:b/>
                <w:bCs/>
              </w:rPr>
              <w:t>Update</w:t>
            </w:r>
          </w:p>
        </w:tc>
      </w:tr>
      <w:tr w:rsidR="0093285C" w:rsidRPr="00580D07" w:rsidTr="00803AA8">
        <w:trPr>
          <w:trHeight w:val="368"/>
          <w:jc w:val="center"/>
        </w:trPr>
        <w:tc>
          <w:tcPr>
            <w:tcW w:w="1830" w:type="dxa"/>
            <w:tcBorders>
              <w:bottom w:val="single" w:sz="4" w:space="0" w:color="auto"/>
            </w:tcBorders>
            <w:shd w:val="clear" w:color="auto" w:fill="auto"/>
          </w:tcPr>
          <w:p w:rsidR="0010773C" w:rsidRPr="00580D07" w:rsidRDefault="0010773C" w:rsidP="00691D6D">
            <w:pPr>
              <w:spacing w:after="0" w:line="240" w:lineRule="auto"/>
              <w:rPr>
                <w:b/>
                <w:bCs/>
              </w:rPr>
            </w:pPr>
            <w:r w:rsidRPr="00580D07">
              <w:rPr>
                <w:b/>
                <w:bCs/>
              </w:rPr>
              <w:t>TWG 12</w:t>
            </w:r>
          </w:p>
          <w:p w:rsidR="0093285C" w:rsidRPr="00580D07" w:rsidRDefault="0093285C" w:rsidP="00691D6D">
            <w:pPr>
              <w:spacing w:after="0" w:line="240" w:lineRule="auto"/>
              <w:rPr>
                <w:b/>
                <w:bCs/>
              </w:rPr>
            </w:pPr>
            <w:r w:rsidRPr="00580D07">
              <w:rPr>
                <w:b/>
                <w:bCs/>
              </w:rPr>
              <w:t>Sanitation</w:t>
            </w:r>
          </w:p>
        </w:tc>
        <w:tc>
          <w:tcPr>
            <w:tcW w:w="3665" w:type="dxa"/>
            <w:shd w:val="clear" w:color="auto" w:fill="auto"/>
          </w:tcPr>
          <w:p w:rsidR="0093285C" w:rsidRPr="00580D07" w:rsidRDefault="0093285C" w:rsidP="00691D6D">
            <w:pPr>
              <w:numPr>
                <w:ilvl w:val="0"/>
                <w:numId w:val="2"/>
              </w:numPr>
              <w:spacing w:after="0" w:line="240" w:lineRule="auto"/>
              <w:ind w:left="297"/>
              <w:rPr>
                <w:lang w:val="en-US"/>
              </w:rPr>
            </w:pPr>
            <w:r w:rsidRPr="00580D07">
              <w:t>The Sanitation and Hygiene Strategy developed and finalized by June, 2014</w:t>
            </w:r>
            <w:r w:rsidRPr="00580D07">
              <w:rPr>
                <w:lang w:val="en-US"/>
              </w:rPr>
              <w:t xml:space="preserve"> </w:t>
            </w:r>
          </w:p>
        </w:tc>
        <w:tc>
          <w:tcPr>
            <w:tcW w:w="10119" w:type="dxa"/>
            <w:shd w:val="clear" w:color="auto" w:fill="auto"/>
          </w:tcPr>
          <w:p w:rsidR="0093285C" w:rsidRPr="00684224" w:rsidRDefault="00E63389" w:rsidP="00684224">
            <w:pPr>
              <w:numPr>
                <w:ilvl w:val="0"/>
                <w:numId w:val="19"/>
              </w:numPr>
              <w:spacing w:after="0" w:line="240" w:lineRule="auto"/>
              <w:jc w:val="both"/>
              <w:rPr>
                <w:rFonts w:cs="Arial"/>
                <w:color w:val="000000"/>
              </w:rPr>
            </w:pPr>
            <w:r w:rsidRPr="00107E0F">
              <w:rPr>
                <w:bCs/>
                <w:lang w:val="en-US"/>
              </w:rPr>
              <w:t xml:space="preserve">The </w:t>
            </w:r>
            <w:r>
              <w:rPr>
                <w:bCs/>
                <w:lang w:val="en-US"/>
              </w:rPr>
              <w:t xml:space="preserve">TWG is in the process to get the National Sanitation and Hygiene Policy endorsed so as to allow for the </w:t>
            </w:r>
            <w:r w:rsidRPr="00107E0F">
              <w:rPr>
                <w:bCs/>
                <w:lang w:val="en-US"/>
              </w:rPr>
              <w:t>develop</w:t>
            </w:r>
            <w:r>
              <w:rPr>
                <w:bCs/>
                <w:lang w:val="en-US"/>
              </w:rPr>
              <w:t>ment of the</w:t>
            </w:r>
            <w:r w:rsidRPr="00107E0F">
              <w:rPr>
                <w:bCs/>
                <w:lang w:val="en-US"/>
              </w:rPr>
              <w:t xml:space="preserve"> national sanitation and hygiene strategy</w:t>
            </w:r>
            <w:r>
              <w:rPr>
                <w:bCs/>
                <w:lang w:val="en-US"/>
              </w:rPr>
              <w:t>. After consultation with CMO, he has directed that the Hon. Minister be briefed on this development before submission of the final draft policy document to the Cabinet Secretariat</w:t>
            </w:r>
          </w:p>
        </w:tc>
      </w:tr>
    </w:tbl>
    <w:p w:rsidR="00600B74" w:rsidRDefault="00600B74">
      <w:r>
        <w:br w:type="page"/>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0"/>
        <w:gridCol w:w="3665"/>
        <w:gridCol w:w="10119"/>
      </w:tblGrid>
      <w:tr w:rsidR="002766F2" w:rsidRPr="00691D6D" w:rsidTr="00947346">
        <w:trPr>
          <w:cantSplit/>
          <w:trHeight w:val="179"/>
          <w:tblHeader/>
          <w:jc w:val="center"/>
        </w:trPr>
        <w:tc>
          <w:tcPr>
            <w:tcW w:w="1830" w:type="dxa"/>
            <w:tcBorders>
              <w:bottom w:val="single" w:sz="4" w:space="0" w:color="auto"/>
            </w:tcBorders>
            <w:shd w:val="clear" w:color="auto" w:fill="BFBFBF" w:themeFill="background1" w:themeFillShade="BF"/>
            <w:vAlign w:val="center"/>
          </w:tcPr>
          <w:p w:rsidR="002766F2" w:rsidRPr="00580D07" w:rsidRDefault="002766F2" w:rsidP="00947346">
            <w:pPr>
              <w:spacing w:after="0" w:line="240" w:lineRule="auto"/>
              <w:jc w:val="center"/>
              <w:rPr>
                <w:b/>
                <w:bCs/>
              </w:rPr>
            </w:pPr>
            <w:r w:rsidRPr="00580D07">
              <w:rPr>
                <w:b/>
                <w:bCs/>
              </w:rPr>
              <w:lastRenderedPageBreak/>
              <w:t>TWG</w:t>
            </w:r>
          </w:p>
        </w:tc>
        <w:tc>
          <w:tcPr>
            <w:tcW w:w="3665" w:type="dxa"/>
            <w:shd w:val="clear" w:color="auto" w:fill="BFBFBF" w:themeFill="background1" w:themeFillShade="BF"/>
            <w:vAlign w:val="center"/>
          </w:tcPr>
          <w:p w:rsidR="002766F2" w:rsidRPr="00691D6D" w:rsidRDefault="002766F2" w:rsidP="00947346">
            <w:pPr>
              <w:spacing w:after="0" w:line="240" w:lineRule="auto"/>
              <w:jc w:val="center"/>
              <w:rPr>
                <w:b/>
                <w:bCs/>
              </w:rPr>
            </w:pPr>
            <w:r w:rsidRPr="00691D6D">
              <w:rPr>
                <w:b/>
                <w:bCs/>
              </w:rPr>
              <w:t>TC SWAp MILESTONE 2013/14</w:t>
            </w:r>
          </w:p>
        </w:tc>
        <w:tc>
          <w:tcPr>
            <w:tcW w:w="10119" w:type="dxa"/>
            <w:shd w:val="clear" w:color="auto" w:fill="BFBFBF" w:themeFill="background1" w:themeFillShade="BF"/>
            <w:vAlign w:val="center"/>
          </w:tcPr>
          <w:p w:rsidR="002766F2" w:rsidRPr="00691D6D" w:rsidRDefault="002766F2" w:rsidP="00947346">
            <w:pPr>
              <w:spacing w:after="0" w:line="240" w:lineRule="auto"/>
              <w:jc w:val="center"/>
              <w:rPr>
                <w:b/>
                <w:bCs/>
              </w:rPr>
            </w:pPr>
            <w:r>
              <w:rPr>
                <w:b/>
                <w:bCs/>
              </w:rPr>
              <w:t xml:space="preserve">Status </w:t>
            </w:r>
            <w:r w:rsidRPr="00691D6D">
              <w:rPr>
                <w:b/>
                <w:bCs/>
              </w:rPr>
              <w:t>Update</w:t>
            </w:r>
          </w:p>
        </w:tc>
      </w:tr>
      <w:tr w:rsidR="00366C57" w:rsidRPr="00580D07" w:rsidTr="00803AA8">
        <w:trPr>
          <w:trHeight w:val="575"/>
          <w:jc w:val="center"/>
        </w:trPr>
        <w:tc>
          <w:tcPr>
            <w:tcW w:w="1830" w:type="dxa"/>
            <w:tcBorders>
              <w:bottom w:val="single" w:sz="4" w:space="0" w:color="auto"/>
            </w:tcBorders>
            <w:shd w:val="clear" w:color="auto" w:fill="auto"/>
          </w:tcPr>
          <w:p w:rsidR="00366C57" w:rsidRPr="00580D07" w:rsidRDefault="00366C57" w:rsidP="007D1B71">
            <w:pPr>
              <w:spacing w:after="0" w:line="240" w:lineRule="auto"/>
              <w:rPr>
                <w:b/>
                <w:bCs/>
              </w:rPr>
            </w:pPr>
            <w:r w:rsidRPr="00580D07">
              <w:rPr>
                <w:b/>
                <w:bCs/>
              </w:rPr>
              <w:t>DPP</w:t>
            </w:r>
          </w:p>
          <w:p w:rsidR="00366C57" w:rsidRPr="00580D07" w:rsidRDefault="00366C57" w:rsidP="007D1B71">
            <w:pPr>
              <w:spacing w:after="0" w:line="240" w:lineRule="auto"/>
              <w:rPr>
                <w:b/>
                <w:bCs/>
              </w:rPr>
            </w:pPr>
            <w:r w:rsidRPr="00580D07">
              <w:rPr>
                <w:b/>
                <w:bCs/>
              </w:rPr>
              <w:t xml:space="preserve">Governance </w:t>
            </w:r>
          </w:p>
        </w:tc>
        <w:tc>
          <w:tcPr>
            <w:tcW w:w="3665" w:type="dxa"/>
            <w:shd w:val="clear" w:color="auto" w:fill="auto"/>
          </w:tcPr>
          <w:p w:rsidR="00366C57" w:rsidRPr="00580D07" w:rsidRDefault="00366C57" w:rsidP="007D1B71">
            <w:pPr>
              <w:numPr>
                <w:ilvl w:val="0"/>
                <w:numId w:val="2"/>
              </w:numPr>
              <w:spacing w:after="0" w:line="240" w:lineRule="auto"/>
              <w:ind w:left="297"/>
              <w:rPr>
                <w:lang w:val="en-US"/>
              </w:rPr>
            </w:pPr>
            <w:r w:rsidRPr="00580D07">
              <w:t xml:space="preserve">At least 50% of Tanzania’s Open Government Commitments in the Health Sector to be implemented by July 2014 </w:t>
            </w:r>
          </w:p>
        </w:tc>
        <w:tc>
          <w:tcPr>
            <w:tcW w:w="10119" w:type="dxa"/>
            <w:shd w:val="clear" w:color="auto" w:fill="auto"/>
          </w:tcPr>
          <w:p w:rsidR="00C97844" w:rsidRPr="00C97844" w:rsidRDefault="00C97844" w:rsidP="00C97844">
            <w:pPr>
              <w:numPr>
                <w:ilvl w:val="0"/>
                <w:numId w:val="44"/>
              </w:numPr>
              <w:spacing w:after="0" w:line="240" w:lineRule="auto"/>
              <w:ind w:left="317"/>
              <w:rPr>
                <w:rFonts w:cs="Calibri"/>
                <w:lang w:val="sw-KE"/>
              </w:rPr>
            </w:pPr>
            <w:r w:rsidRPr="00C97844">
              <w:rPr>
                <w:rFonts w:cs="Calibri"/>
                <w:lang w:val="sw-KE"/>
              </w:rPr>
              <w:t>Adverts on various issues such as examination results, selected candidates for health training institutions, funds allocated for medicines, employement opportunities etc were posted in a re-designed Ministerial website.</w:t>
            </w:r>
          </w:p>
          <w:p w:rsidR="00C97844" w:rsidRPr="00C97844" w:rsidRDefault="00C97844" w:rsidP="00C97844">
            <w:pPr>
              <w:numPr>
                <w:ilvl w:val="0"/>
                <w:numId w:val="44"/>
              </w:numPr>
              <w:spacing w:after="0" w:line="240" w:lineRule="auto"/>
              <w:ind w:left="317"/>
              <w:rPr>
                <w:rFonts w:cs="Calibri"/>
                <w:lang w:val="sw-KE"/>
              </w:rPr>
            </w:pPr>
            <w:r w:rsidRPr="00C97844">
              <w:rPr>
                <w:rFonts w:cs="Calibri"/>
                <w:lang w:val="sw-KE"/>
              </w:rPr>
              <w:t>For transparency purposes, advertisements on funds disbursed to MSD for procurement and distribution of medicine and medical equipment were posted in MoHSW website and local newspaper</w:t>
            </w:r>
          </w:p>
          <w:p w:rsidR="00C97844" w:rsidRPr="00C97844" w:rsidRDefault="00C97844" w:rsidP="00C97844">
            <w:pPr>
              <w:numPr>
                <w:ilvl w:val="0"/>
                <w:numId w:val="44"/>
              </w:numPr>
              <w:spacing w:after="0" w:line="240" w:lineRule="auto"/>
              <w:ind w:left="317"/>
              <w:rPr>
                <w:rFonts w:cs="Calibri"/>
                <w:lang w:val="sw-KE"/>
              </w:rPr>
            </w:pPr>
            <w:r w:rsidRPr="00C97844">
              <w:rPr>
                <w:rFonts w:cs="Calibri"/>
                <w:lang w:val="sw-KE"/>
              </w:rPr>
              <w:t>Towards increased citizens participation, Council Health Services Board guidelines were reviewed, approvedand disserminated for use. Furthermore, supportive supervision to Council Health Services Board was conducted.</w:t>
            </w:r>
          </w:p>
          <w:p w:rsidR="00366C57" w:rsidRPr="00C97844" w:rsidRDefault="00C97844" w:rsidP="00C97844">
            <w:pPr>
              <w:numPr>
                <w:ilvl w:val="0"/>
                <w:numId w:val="44"/>
              </w:numPr>
              <w:spacing w:after="0" w:line="240" w:lineRule="auto"/>
              <w:ind w:left="317"/>
              <w:rPr>
                <w:rFonts w:asciiTheme="minorHAnsi" w:hAnsiTheme="minorHAnsi" w:cstheme="minorHAnsi"/>
                <w:lang w:val="sw-KE"/>
              </w:rPr>
            </w:pPr>
            <w:r w:rsidRPr="00C97844">
              <w:rPr>
                <w:rFonts w:cs="Calibri"/>
                <w:lang w:val="sw-KE"/>
              </w:rPr>
              <w:t>Strengthen the complaint handling mechanism and reviewed and disserminated the Client Service Charter for the Ministry.</w:t>
            </w:r>
          </w:p>
        </w:tc>
      </w:tr>
    </w:tbl>
    <w:p w:rsidR="00600B74" w:rsidRDefault="00600B74">
      <w:r>
        <w:br w:type="page"/>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0"/>
        <w:gridCol w:w="3665"/>
        <w:gridCol w:w="10119"/>
      </w:tblGrid>
      <w:tr w:rsidR="002766F2" w:rsidRPr="00691D6D" w:rsidTr="00947346">
        <w:trPr>
          <w:cantSplit/>
          <w:trHeight w:val="179"/>
          <w:tblHeader/>
          <w:jc w:val="center"/>
        </w:trPr>
        <w:tc>
          <w:tcPr>
            <w:tcW w:w="1830" w:type="dxa"/>
            <w:tcBorders>
              <w:bottom w:val="single" w:sz="4" w:space="0" w:color="auto"/>
            </w:tcBorders>
            <w:shd w:val="clear" w:color="auto" w:fill="BFBFBF" w:themeFill="background1" w:themeFillShade="BF"/>
            <w:vAlign w:val="center"/>
          </w:tcPr>
          <w:p w:rsidR="002766F2" w:rsidRPr="00580D07" w:rsidRDefault="002766F2" w:rsidP="00947346">
            <w:pPr>
              <w:spacing w:after="0" w:line="240" w:lineRule="auto"/>
              <w:jc w:val="center"/>
              <w:rPr>
                <w:b/>
                <w:bCs/>
              </w:rPr>
            </w:pPr>
            <w:r w:rsidRPr="00580D07">
              <w:rPr>
                <w:b/>
                <w:bCs/>
              </w:rPr>
              <w:lastRenderedPageBreak/>
              <w:t>TWG</w:t>
            </w:r>
          </w:p>
        </w:tc>
        <w:tc>
          <w:tcPr>
            <w:tcW w:w="3665" w:type="dxa"/>
            <w:shd w:val="clear" w:color="auto" w:fill="BFBFBF" w:themeFill="background1" w:themeFillShade="BF"/>
            <w:vAlign w:val="center"/>
          </w:tcPr>
          <w:p w:rsidR="002766F2" w:rsidRPr="00691D6D" w:rsidRDefault="002766F2" w:rsidP="00947346">
            <w:pPr>
              <w:spacing w:after="0" w:line="240" w:lineRule="auto"/>
              <w:jc w:val="center"/>
              <w:rPr>
                <w:b/>
                <w:bCs/>
              </w:rPr>
            </w:pPr>
            <w:r w:rsidRPr="00691D6D">
              <w:rPr>
                <w:b/>
                <w:bCs/>
              </w:rPr>
              <w:t>TC SWAp MILESTONE 2013/14</w:t>
            </w:r>
          </w:p>
        </w:tc>
        <w:tc>
          <w:tcPr>
            <w:tcW w:w="10119" w:type="dxa"/>
            <w:shd w:val="clear" w:color="auto" w:fill="BFBFBF" w:themeFill="background1" w:themeFillShade="BF"/>
            <w:vAlign w:val="center"/>
          </w:tcPr>
          <w:p w:rsidR="002766F2" w:rsidRPr="00691D6D" w:rsidRDefault="002766F2" w:rsidP="00947346">
            <w:pPr>
              <w:spacing w:after="0" w:line="240" w:lineRule="auto"/>
              <w:jc w:val="center"/>
              <w:rPr>
                <w:b/>
                <w:bCs/>
              </w:rPr>
            </w:pPr>
            <w:r>
              <w:rPr>
                <w:b/>
                <w:bCs/>
              </w:rPr>
              <w:t xml:space="preserve">Status </w:t>
            </w:r>
            <w:r w:rsidRPr="00691D6D">
              <w:rPr>
                <w:b/>
                <w:bCs/>
              </w:rPr>
              <w:t>Update</w:t>
            </w:r>
          </w:p>
        </w:tc>
      </w:tr>
      <w:tr w:rsidR="002A4B3F" w:rsidRPr="00580D07" w:rsidTr="00803AA8">
        <w:trPr>
          <w:trHeight w:val="368"/>
          <w:jc w:val="center"/>
        </w:trPr>
        <w:tc>
          <w:tcPr>
            <w:tcW w:w="1830" w:type="dxa"/>
            <w:tcBorders>
              <w:bottom w:val="single" w:sz="4" w:space="0" w:color="auto"/>
            </w:tcBorders>
            <w:shd w:val="clear" w:color="auto" w:fill="auto"/>
          </w:tcPr>
          <w:p w:rsidR="002A4B3F" w:rsidRPr="00580D07" w:rsidRDefault="002A4B3F" w:rsidP="00691D6D">
            <w:pPr>
              <w:spacing w:after="0" w:line="240" w:lineRule="auto"/>
              <w:rPr>
                <w:b/>
                <w:bCs/>
              </w:rPr>
            </w:pPr>
            <w:r>
              <w:rPr>
                <w:b/>
                <w:bCs/>
              </w:rPr>
              <w:t>Quality Improvement</w:t>
            </w:r>
          </w:p>
        </w:tc>
        <w:tc>
          <w:tcPr>
            <w:tcW w:w="3665" w:type="dxa"/>
            <w:shd w:val="clear" w:color="auto" w:fill="auto"/>
          </w:tcPr>
          <w:p w:rsidR="002A4B3F" w:rsidRPr="00580D07" w:rsidRDefault="002A4B3F" w:rsidP="00691D6D">
            <w:pPr>
              <w:numPr>
                <w:ilvl w:val="0"/>
                <w:numId w:val="2"/>
              </w:numPr>
              <w:spacing w:after="0" w:line="240" w:lineRule="auto"/>
              <w:ind w:left="297"/>
            </w:pPr>
            <w:r w:rsidRPr="004448E1">
              <w:t>Step-Wise Certification towards Accreditation (SWCA) of health facilities together with required investments for quality improvement implemented, scaled up from one region to two regions by June 2015</w:t>
            </w:r>
          </w:p>
        </w:tc>
        <w:tc>
          <w:tcPr>
            <w:tcW w:w="10119" w:type="dxa"/>
            <w:shd w:val="clear" w:color="auto" w:fill="auto"/>
          </w:tcPr>
          <w:p w:rsidR="002A4B3F" w:rsidRPr="002A4B3F" w:rsidRDefault="002A4B3F" w:rsidP="002A4B3F">
            <w:pPr>
              <w:numPr>
                <w:ilvl w:val="0"/>
                <w:numId w:val="34"/>
              </w:numPr>
              <w:spacing w:after="0" w:line="240" w:lineRule="auto"/>
              <w:contextualSpacing/>
            </w:pPr>
            <w:r w:rsidRPr="002A4B3F">
              <w:t>Have adapted SafeCare Standards for use at dispensary, health centre and hospitals at district level. Hospital Standards developed by the Council for Health Services Accreditation of Southern Africa (COHSASA) will be adopted and applied in Regional Referral Hospitals, Zonal Super Specialist Hospitals and Hospitals at National Level.</w:t>
            </w:r>
          </w:p>
          <w:p w:rsidR="002A4B3F" w:rsidRPr="002A4B3F" w:rsidRDefault="002A4B3F" w:rsidP="002A4B3F">
            <w:pPr>
              <w:numPr>
                <w:ilvl w:val="0"/>
                <w:numId w:val="34"/>
              </w:numPr>
              <w:spacing w:after="0" w:line="240" w:lineRule="auto"/>
              <w:contextualSpacing/>
            </w:pPr>
            <w:r w:rsidRPr="002A4B3F">
              <w:t>Two sensitization meetings were conducted in Pwani and Dodoma Regions – involving members of RHMTs and CHMTs.</w:t>
            </w:r>
          </w:p>
          <w:p w:rsidR="002A4B3F" w:rsidRPr="002A4B3F" w:rsidRDefault="002A4B3F" w:rsidP="002A4B3F">
            <w:pPr>
              <w:numPr>
                <w:ilvl w:val="0"/>
                <w:numId w:val="34"/>
              </w:numPr>
              <w:spacing w:after="0" w:line="240" w:lineRule="auto"/>
              <w:contextualSpacing/>
            </w:pPr>
            <w:r w:rsidRPr="002A4B3F">
              <w:t>52 Facilitators have been trained – 10 from MoHSW; 04 from RHMT Pwani and 09 from RHMT Dodoma; 03 from Tumbi Regional Referral Hospital and 02 from Dodoma Regional Referral Hospital; 10 from CHMTs/Facilities in Pwani (Kisarawe 1, Bagamoyo 1, Kibaha TC 1, Mkuranga 1, Kibaha DC 2, Mafia 2 and Rufiji 2) and 14 from CHMTs/Facilities in Dodoma (Chamwino 02, Bahi 02, Kondoa 02, Dodoma Municipal 02, Kongwa 02, Mpwapwa 02 and Chema 02).</w:t>
            </w:r>
          </w:p>
          <w:p w:rsidR="002A4B3F" w:rsidRPr="00684224" w:rsidRDefault="002A4B3F" w:rsidP="002A4B3F">
            <w:pPr>
              <w:numPr>
                <w:ilvl w:val="0"/>
                <w:numId w:val="34"/>
              </w:numPr>
              <w:spacing w:after="0" w:line="240" w:lineRule="auto"/>
              <w:jc w:val="both"/>
              <w:rPr>
                <w:rFonts w:cs="Arial"/>
                <w:color w:val="000000"/>
              </w:rPr>
            </w:pPr>
            <w:r w:rsidRPr="002A4B3F">
              <w:t xml:space="preserve">Eight (08) health facilities in Pwani region - Kisarawe District Hospital (DH), Bagamoyo DH, Mkuranga DH, Mafia DH, Utete DH, Mkoani Health Centre (HC), Mlandizi HC and Tumbi Regional Referral Hospital were assessed. All are in level 1. Quality </w:t>
            </w:r>
            <w:r w:rsidRPr="001C7DFE">
              <w:t>Improvement Plans have been developed and shared with all the facilities. In Dodoma eight (08) health facilities – Mvumi DDH, Kondoa DH, Kongwa DH, Mpwapwa DH, Bahi HC, Makole HC and Hamai HC have been assessed (June-July 2014). All are in level one. Improvement plans on development by the assessors.</w:t>
            </w:r>
          </w:p>
        </w:tc>
      </w:tr>
    </w:tbl>
    <w:p w:rsidR="0093285C" w:rsidRPr="00466FA8" w:rsidRDefault="0093285C">
      <w:pPr>
        <w:rPr>
          <w:rFonts w:ascii="Trebuchet MS" w:hAnsi="Trebuchet MS"/>
          <w:sz w:val="20"/>
          <w:szCs w:val="20"/>
        </w:rPr>
      </w:pPr>
    </w:p>
    <w:sectPr w:rsidR="0093285C" w:rsidRPr="00466FA8" w:rsidSect="002766F2">
      <w:footerReference w:type="default" r:id="rId8"/>
      <w:pgSz w:w="16838" w:h="11906" w:orient="landscape"/>
      <w:pgMar w:top="1134" w:right="720" w:bottom="993" w:left="72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06A" w:rsidRDefault="001A306A" w:rsidP="008F763E">
      <w:pPr>
        <w:spacing w:after="0" w:line="240" w:lineRule="auto"/>
      </w:pPr>
      <w:r>
        <w:separator/>
      </w:r>
    </w:p>
  </w:endnote>
  <w:endnote w:type="continuationSeparator" w:id="1">
    <w:p w:rsidR="001A306A" w:rsidRDefault="001A306A" w:rsidP="008F7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63E" w:rsidRPr="00DE247F" w:rsidRDefault="002D0DAB" w:rsidP="008F763E">
    <w:pPr>
      <w:pStyle w:val="Footer"/>
      <w:tabs>
        <w:tab w:val="clear" w:pos="4819"/>
        <w:tab w:val="clear" w:pos="9638"/>
        <w:tab w:val="center" w:pos="7655"/>
        <w:tab w:val="right" w:pos="15309"/>
      </w:tabs>
      <w:rPr>
        <w:sz w:val="18"/>
        <w:szCs w:val="18"/>
        <w:lang w:val="en-US"/>
      </w:rPr>
    </w:pPr>
    <w:r>
      <w:rPr>
        <w:sz w:val="18"/>
        <w:szCs w:val="18"/>
        <w:lang w:val="en-US"/>
      </w:rPr>
      <w:tab/>
    </w:r>
    <w:r w:rsidR="008F763E" w:rsidRPr="008F763E">
      <w:rPr>
        <w:sz w:val="18"/>
        <w:szCs w:val="18"/>
        <w:lang w:val="en-US"/>
      </w:rPr>
      <w:t>SWAp 2013</w:t>
    </w:r>
    <w:r>
      <w:rPr>
        <w:sz w:val="18"/>
        <w:szCs w:val="18"/>
        <w:lang w:val="en-US"/>
      </w:rPr>
      <w:t>-20</w:t>
    </w:r>
    <w:r w:rsidR="008F763E" w:rsidRPr="008F763E">
      <w:rPr>
        <w:sz w:val="18"/>
        <w:szCs w:val="18"/>
        <w:lang w:val="en-US"/>
      </w:rPr>
      <w:t xml:space="preserve">14 Milestone </w:t>
    </w:r>
    <w:r>
      <w:rPr>
        <w:sz w:val="18"/>
        <w:szCs w:val="18"/>
        <w:lang w:val="en-US"/>
      </w:rPr>
      <w:t xml:space="preserve">Status </w:t>
    </w:r>
    <w:r w:rsidR="00600B74">
      <w:rPr>
        <w:sz w:val="18"/>
        <w:szCs w:val="18"/>
        <w:lang w:val="en-US"/>
      </w:rPr>
      <w:t>update</w:t>
    </w:r>
    <w:r w:rsidR="008F763E">
      <w:rPr>
        <w:b/>
        <w:lang w:val="en-US"/>
      </w:rPr>
      <w:tab/>
    </w:r>
    <w:r w:rsidRPr="002D0DAB">
      <w:rPr>
        <w:lang w:val="en-US"/>
      </w:rPr>
      <w:t>P</w:t>
    </w:r>
    <w:r w:rsidR="008F763E" w:rsidRPr="008F763E">
      <w:rPr>
        <w:lang w:val="en-US"/>
      </w:rPr>
      <w:t xml:space="preserve">age </w:t>
    </w:r>
    <w:r w:rsidR="008F763E" w:rsidRPr="008F763E">
      <w:t xml:space="preserve"> </w:t>
    </w:r>
    <w:fldSimple w:instr=" PAGE   \* MERGEFORMAT ">
      <w:r w:rsidR="0035692F">
        <w:rPr>
          <w:noProof/>
        </w:rPr>
        <w:t>1</w:t>
      </w:r>
    </w:fldSimple>
  </w:p>
  <w:p w:rsidR="008F763E" w:rsidRDefault="008F76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06A" w:rsidRDefault="001A306A" w:rsidP="008F763E">
      <w:pPr>
        <w:spacing w:after="0" w:line="240" w:lineRule="auto"/>
      </w:pPr>
      <w:r>
        <w:separator/>
      </w:r>
    </w:p>
  </w:footnote>
  <w:footnote w:type="continuationSeparator" w:id="1">
    <w:p w:rsidR="001A306A" w:rsidRDefault="001A306A" w:rsidP="008F76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7A8"/>
    <w:multiLevelType w:val="hybridMultilevel"/>
    <w:tmpl w:val="580080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2E20E3"/>
    <w:multiLevelType w:val="hybridMultilevel"/>
    <w:tmpl w:val="DEF63960"/>
    <w:lvl w:ilvl="0" w:tplc="0409000B">
      <w:start w:val="1"/>
      <w:numFmt w:val="bullet"/>
      <w:lvlText w:val=""/>
      <w:lvlJc w:val="left"/>
      <w:pPr>
        <w:ind w:left="390" w:hanging="360"/>
      </w:pPr>
      <w:rPr>
        <w:rFonts w:ascii="Wingdings" w:hAnsi="Wingdings"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nsid w:val="093978EE"/>
    <w:multiLevelType w:val="hybridMultilevel"/>
    <w:tmpl w:val="40A69EF6"/>
    <w:lvl w:ilvl="0" w:tplc="0441000F">
      <w:start w:val="1"/>
      <w:numFmt w:val="decimal"/>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3">
    <w:nsid w:val="0D856A4A"/>
    <w:multiLevelType w:val="hybridMultilevel"/>
    <w:tmpl w:val="CF20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817A2"/>
    <w:multiLevelType w:val="hybridMultilevel"/>
    <w:tmpl w:val="8D580950"/>
    <w:lvl w:ilvl="0" w:tplc="04060011">
      <w:start w:val="1"/>
      <w:numFmt w:val="decimal"/>
      <w:lvlText w:val="%1)"/>
      <w:lvlJc w:val="left"/>
      <w:pPr>
        <w:ind w:left="390" w:hanging="360"/>
      </w:pPr>
      <w:rPr>
        <w:rFonts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5">
    <w:nsid w:val="10030507"/>
    <w:multiLevelType w:val="hybridMultilevel"/>
    <w:tmpl w:val="2D2C42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295EDF"/>
    <w:multiLevelType w:val="hybridMultilevel"/>
    <w:tmpl w:val="C7EC2706"/>
    <w:lvl w:ilvl="0" w:tplc="0406000F">
      <w:start w:val="1"/>
      <w:numFmt w:val="decimal"/>
      <w:lvlText w:val="%1."/>
      <w:lvlJc w:val="left"/>
      <w:pPr>
        <w:ind w:left="390" w:hanging="360"/>
      </w:pPr>
      <w:rPr>
        <w:rFonts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nsid w:val="15C5619D"/>
    <w:multiLevelType w:val="hybridMultilevel"/>
    <w:tmpl w:val="2110BB4A"/>
    <w:lvl w:ilvl="0" w:tplc="0409000B">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nsid w:val="15C61377"/>
    <w:multiLevelType w:val="hybridMultilevel"/>
    <w:tmpl w:val="0472FB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DC52EE"/>
    <w:multiLevelType w:val="hybridMultilevel"/>
    <w:tmpl w:val="82580A5A"/>
    <w:lvl w:ilvl="0" w:tplc="0409000D">
      <w:start w:val="1"/>
      <w:numFmt w:val="bullet"/>
      <w:lvlText w:val=""/>
      <w:lvlJc w:val="left"/>
      <w:pPr>
        <w:ind w:left="390" w:hanging="360"/>
      </w:pPr>
      <w:rPr>
        <w:rFonts w:ascii="Wingdings" w:hAnsi="Wingdings"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nsid w:val="1EB70219"/>
    <w:multiLevelType w:val="hybridMultilevel"/>
    <w:tmpl w:val="696CECA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298512B1"/>
    <w:multiLevelType w:val="hybridMultilevel"/>
    <w:tmpl w:val="98904D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B627E0B"/>
    <w:multiLevelType w:val="hybridMultilevel"/>
    <w:tmpl w:val="9EBAD4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E074B"/>
    <w:multiLevelType w:val="hybridMultilevel"/>
    <w:tmpl w:val="138C35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8C308A"/>
    <w:multiLevelType w:val="hybridMultilevel"/>
    <w:tmpl w:val="0758232E"/>
    <w:lvl w:ilvl="0" w:tplc="0409000B">
      <w:start w:val="1"/>
      <w:numFmt w:val="bullet"/>
      <w:lvlText w:val=""/>
      <w:lvlJc w:val="left"/>
      <w:pPr>
        <w:ind w:left="360" w:hanging="360"/>
      </w:pPr>
      <w:rPr>
        <w:rFonts w:ascii="Wingdings" w:hAnsi="Wingdings" w:hint="default"/>
      </w:r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15">
    <w:nsid w:val="34100C30"/>
    <w:multiLevelType w:val="hybridMultilevel"/>
    <w:tmpl w:val="8E027DE4"/>
    <w:lvl w:ilvl="0" w:tplc="0406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35041B"/>
    <w:multiLevelType w:val="multilevel"/>
    <w:tmpl w:val="430809F6"/>
    <w:lvl w:ilvl="0">
      <w:start w:val="1"/>
      <w:numFmt w:val="decimal"/>
      <w:lvlText w:val="%1."/>
      <w:lvlJc w:val="left"/>
      <w:pPr>
        <w:ind w:left="390" w:hanging="360"/>
      </w:pPr>
      <w:rPr>
        <w:rFonts w:hint="default"/>
      </w:rPr>
    </w:lvl>
    <w:lvl w:ilvl="1">
      <w:start w:val="1"/>
      <w:numFmt w:val="lowerLetter"/>
      <w:lvlText w:val="%2."/>
      <w:lvlJc w:val="left"/>
      <w:pPr>
        <w:ind w:left="390" w:hanging="36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110" w:hanging="108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470" w:hanging="1440"/>
      </w:pPr>
      <w:rPr>
        <w:rFonts w:hint="default"/>
      </w:rPr>
    </w:lvl>
    <w:lvl w:ilvl="8">
      <w:start w:val="1"/>
      <w:numFmt w:val="decimal"/>
      <w:isLgl/>
      <w:lvlText w:val="%1.%2.%3.%4.%5.%6.%7.%8.%9"/>
      <w:lvlJc w:val="left"/>
      <w:pPr>
        <w:ind w:left="1470" w:hanging="1440"/>
      </w:pPr>
      <w:rPr>
        <w:rFonts w:hint="default"/>
      </w:rPr>
    </w:lvl>
  </w:abstractNum>
  <w:abstractNum w:abstractNumId="17">
    <w:nsid w:val="3B6E1D2D"/>
    <w:multiLevelType w:val="hybridMultilevel"/>
    <w:tmpl w:val="02B8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163508"/>
    <w:multiLevelType w:val="hybridMultilevel"/>
    <w:tmpl w:val="785248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49445D"/>
    <w:multiLevelType w:val="hybridMultilevel"/>
    <w:tmpl w:val="DEC0EC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39B5633"/>
    <w:multiLevelType w:val="hybridMultilevel"/>
    <w:tmpl w:val="45FC4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7C06F2"/>
    <w:multiLevelType w:val="hybridMultilevel"/>
    <w:tmpl w:val="30684F4A"/>
    <w:lvl w:ilvl="0" w:tplc="0409000B">
      <w:start w:val="1"/>
      <w:numFmt w:val="bullet"/>
      <w:lvlText w:val=""/>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5ED5DF1"/>
    <w:multiLevelType w:val="hybridMultilevel"/>
    <w:tmpl w:val="51AE189A"/>
    <w:lvl w:ilvl="0" w:tplc="5462ADDE">
      <w:start w:val="1"/>
      <w:numFmt w:val="bullet"/>
      <w:lvlText w:val=""/>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7C04C10"/>
    <w:multiLevelType w:val="hybridMultilevel"/>
    <w:tmpl w:val="9A6220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AD0CA9"/>
    <w:multiLevelType w:val="hybridMultilevel"/>
    <w:tmpl w:val="B442D648"/>
    <w:lvl w:ilvl="0" w:tplc="0409000D">
      <w:start w:val="1"/>
      <w:numFmt w:val="bullet"/>
      <w:lvlText w:val=""/>
      <w:lvlJc w:val="left"/>
      <w:pPr>
        <w:ind w:left="390" w:hanging="360"/>
      </w:pPr>
      <w:rPr>
        <w:rFonts w:ascii="Wingdings" w:hAnsi="Wingdings"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5">
    <w:nsid w:val="4D987C31"/>
    <w:multiLevelType w:val="hybridMultilevel"/>
    <w:tmpl w:val="70060D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324844"/>
    <w:multiLevelType w:val="hybridMultilevel"/>
    <w:tmpl w:val="1E54CA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4AB70AF"/>
    <w:multiLevelType w:val="hybridMultilevel"/>
    <w:tmpl w:val="71121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924BB6"/>
    <w:multiLevelType w:val="hybridMultilevel"/>
    <w:tmpl w:val="81AADA5C"/>
    <w:lvl w:ilvl="0" w:tplc="04060011">
      <w:start w:val="1"/>
      <w:numFmt w:val="decimal"/>
      <w:lvlText w:val="%1)"/>
      <w:lvlJc w:val="left"/>
      <w:pPr>
        <w:ind w:left="390" w:hanging="360"/>
      </w:pPr>
      <w:rPr>
        <w:rFonts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9">
    <w:nsid w:val="589E77D2"/>
    <w:multiLevelType w:val="hybridMultilevel"/>
    <w:tmpl w:val="CDEEA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58BF4E23"/>
    <w:multiLevelType w:val="hybridMultilevel"/>
    <w:tmpl w:val="A04286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D9E48AA"/>
    <w:multiLevelType w:val="hybridMultilevel"/>
    <w:tmpl w:val="B39616B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nsid w:val="5EC15C10"/>
    <w:multiLevelType w:val="hybridMultilevel"/>
    <w:tmpl w:val="4AB802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AD70AF"/>
    <w:multiLevelType w:val="hybridMultilevel"/>
    <w:tmpl w:val="5784CC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1F95885"/>
    <w:multiLevelType w:val="hybridMultilevel"/>
    <w:tmpl w:val="6E1204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3FE5B6A"/>
    <w:multiLevelType w:val="hybridMultilevel"/>
    <w:tmpl w:val="EB4AFD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nsid w:val="654025C9"/>
    <w:multiLevelType w:val="hybridMultilevel"/>
    <w:tmpl w:val="B2224D1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8DD337A"/>
    <w:multiLevelType w:val="hybridMultilevel"/>
    <w:tmpl w:val="FA5669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4A7E16"/>
    <w:multiLevelType w:val="hybridMultilevel"/>
    <w:tmpl w:val="E12C00B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76F61EC3"/>
    <w:multiLevelType w:val="hybridMultilevel"/>
    <w:tmpl w:val="C0F05C14"/>
    <w:lvl w:ilvl="0" w:tplc="0409000D">
      <w:start w:val="1"/>
      <w:numFmt w:val="bullet"/>
      <w:lvlText w:val=""/>
      <w:lvlJc w:val="left"/>
      <w:pPr>
        <w:ind w:left="390" w:hanging="360"/>
      </w:pPr>
      <w:rPr>
        <w:rFonts w:ascii="Wingdings" w:hAnsi="Wingdings"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0">
    <w:nsid w:val="7C4A7C6D"/>
    <w:multiLevelType w:val="hybridMultilevel"/>
    <w:tmpl w:val="5EE4DBA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CE114D2"/>
    <w:multiLevelType w:val="hybridMultilevel"/>
    <w:tmpl w:val="C89A439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5"/>
  </w:num>
  <w:num w:numId="3">
    <w:abstractNumId w:val="2"/>
  </w:num>
  <w:num w:numId="4">
    <w:abstractNumId w:val="16"/>
  </w:num>
  <w:num w:numId="5">
    <w:abstractNumId w:val="24"/>
  </w:num>
  <w:num w:numId="6">
    <w:abstractNumId w:val="39"/>
  </w:num>
  <w:num w:numId="7">
    <w:abstractNumId w:val="9"/>
  </w:num>
  <w:num w:numId="8">
    <w:abstractNumId w:val="40"/>
  </w:num>
  <w:num w:numId="9">
    <w:abstractNumId w:val="3"/>
  </w:num>
  <w:num w:numId="10">
    <w:abstractNumId w:val="15"/>
  </w:num>
  <w:num w:numId="11">
    <w:abstractNumId w:val="11"/>
  </w:num>
  <w:num w:numId="12">
    <w:abstractNumId w:val="30"/>
  </w:num>
  <w:num w:numId="13">
    <w:abstractNumId w:val="4"/>
  </w:num>
  <w:num w:numId="14">
    <w:abstractNumId w:val="6"/>
  </w:num>
  <w:num w:numId="15">
    <w:abstractNumId w:val="28"/>
  </w:num>
  <w:num w:numId="16">
    <w:abstractNumId w:val="1"/>
  </w:num>
  <w:num w:numId="17">
    <w:abstractNumId w:val="14"/>
  </w:num>
  <w:num w:numId="18">
    <w:abstractNumId w:val="38"/>
  </w:num>
  <w:num w:numId="19">
    <w:abstractNumId w:val="0"/>
  </w:num>
  <w:num w:numId="20">
    <w:abstractNumId w:val="13"/>
  </w:num>
  <w:num w:numId="21">
    <w:abstractNumId w:val="32"/>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7"/>
  </w:num>
  <w:num w:numId="25">
    <w:abstractNumId w:val="20"/>
  </w:num>
  <w:num w:numId="26">
    <w:abstractNumId w:val="37"/>
  </w:num>
  <w:num w:numId="27">
    <w:abstractNumId w:val="25"/>
  </w:num>
  <w:num w:numId="28">
    <w:abstractNumId w:val="5"/>
  </w:num>
  <w:num w:numId="29">
    <w:abstractNumId w:val="8"/>
  </w:num>
  <w:num w:numId="30">
    <w:abstractNumId w:val="41"/>
  </w:num>
  <w:num w:numId="31">
    <w:abstractNumId w:val="18"/>
  </w:num>
  <w:num w:numId="32">
    <w:abstractNumId w:val="12"/>
  </w:num>
  <w:num w:numId="33">
    <w:abstractNumId w:val="26"/>
  </w:num>
  <w:num w:numId="34">
    <w:abstractNumId w:val="33"/>
  </w:num>
  <w:num w:numId="35">
    <w:abstractNumId w:val="27"/>
  </w:num>
  <w:num w:numId="36">
    <w:abstractNumId w:val="34"/>
  </w:num>
  <w:num w:numId="37">
    <w:abstractNumId w:val="17"/>
  </w:num>
  <w:num w:numId="38">
    <w:abstractNumId w:val="19"/>
  </w:num>
  <w:num w:numId="39">
    <w:abstractNumId w:val="36"/>
  </w:num>
  <w:num w:numId="40">
    <w:abstractNumId w:val="22"/>
  </w:num>
  <w:num w:numId="41">
    <w:abstractNumId w:val="22"/>
  </w:num>
  <w:num w:numId="42">
    <w:abstractNumId w:val="21"/>
  </w:num>
  <w:num w:numId="43">
    <w:abstractNumId w:val="23"/>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3285C"/>
    <w:rsid w:val="00002E02"/>
    <w:rsid w:val="0003718C"/>
    <w:rsid w:val="000751DF"/>
    <w:rsid w:val="00075698"/>
    <w:rsid w:val="00092B2E"/>
    <w:rsid w:val="00092EC8"/>
    <w:rsid w:val="000A0F84"/>
    <w:rsid w:val="000A3139"/>
    <w:rsid w:val="000B0754"/>
    <w:rsid w:val="000B505D"/>
    <w:rsid w:val="001001A2"/>
    <w:rsid w:val="0010773C"/>
    <w:rsid w:val="00117F0F"/>
    <w:rsid w:val="001230AF"/>
    <w:rsid w:val="00124D67"/>
    <w:rsid w:val="00125051"/>
    <w:rsid w:val="00130365"/>
    <w:rsid w:val="00166903"/>
    <w:rsid w:val="00170155"/>
    <w:rsid w:val="001806FC"/>
    <w:rsid w:val="0018224D"/>
    <w:rsid w:val="0019588C"/>
    <w:rsid w:val="001A306A"/>
    <w:rsid w:val="001B12FF"/>
    <w:rsid w:val="001B777E"/>
    <w:rsid w:val="001C7DFE"/>
    <w:rsid w:val="001D106A"/>
    <w:rsid w:val="001E2506"/>
    <w:rsid w:val="001E2CA7"/>
    <w:rsid w:val="001F1C2E"/>
    <w:rsid w:val="001F7F40"/>
    <w:rsid w:val="00203066"/>
    <w:rsid w:val="00203BBD"/>
    <w:rsid w:val="00215C44"/>
    <w:rsid w:val="00237107"/>
    <w:rsid w:val="0024211F"/>
    <w:rsid w:val="0025142C"/>
    <w:rsid w:val="002766F2"/>
    <w:rsid w:val="00294A56"/>
    <w:rsid w:val="002A4B3F"/>
    <w:rsid w:val="002C6EFA"/>
    <w:rsid w:val="002D0DAB"/>
    <w:rsid w:val="003002B4"/>
    <w:rsid w:val="0035692F"/>
    <w:rsid w:val="00356D02"/>
    <w:rsid w:val="00366C57"/>
    <w:rsid w:val="00381E5C"/>
    <w:rsid w:val="003C0856"/>
    <w:rsid w:val="00422099"/>
    <w:rsid w:val="0043187D"/>
    <w:rsid w:val="00433458"/>
    <w:rsid w:val="00446671"/>
    <w:rsid w:val="00460615"/>
    <w:rsid w:val="00466FA8"/>
    <w:rsid w:val="004A31EC"/>
    <w:rsid w:val="004E25B2"/>
    <w:rsid w:val="00510CE7"/>
    <w:rsid w:val="005544B3"/>
    <w:rsid w:val="00566C43"/>
    <w:rsid w:val="00580D07"/>
    <w:rsid w:val="00600B74"/>
    <w:rsid w:val="00640B6F"/>
    <w:rsid w:val="0067771C"/>
    <w:rsid w:val="00684224"/>
    <w:rsid w:val="00691D6D"/>
    <w:rsid w:val="006A0C2A"/>
    <w:rsid w:val="006B21ED"/>
    <w:rsid w:val="006B270D"/>
    <w:rsid w:val="006F2B27"/>
    <w:rsid w:val="006F5593"/>
    <w:rsid w:val="006F6312"/>
    <w:rsid w:val="00731F3E"/>
    <w:rsid w:val="007372A7"/>
    <w:rsid w:val="00746E57"/>
    <w:rsid w:val="00756BB0"/>
    <w:rsid w:val="007572CF"/>
    <w:rsid w:val="00765121"/>
    <w:rsid w:val="00780559"/>
    <w:rsid w:val="007960CC"/>
    <w:rsid w:val="007B31F9"/>
    <w:rsid w:val="007B43A5"/>
    <w:rsid w:val="007B50EC"/>
    <w:rsid w:val="007C5059"/>
    <w:rsid w:val="007D1B71"/>
    <w:rsid w:val="00803AA8"/>
    <w:rsid w:val="00812A96"/>
    <w:rsid w:val="008478B6"/>
    <w:rsid w:val="00864D3A"/>
    <w:rsid w:val="0087248B"/>
    <w:rsid w:val="00873F11"/>
    <w:rsid w:val="00884866"/>
    <w:rsid w:val="008B3677"/>
    <w:rsid w:val="008C4AD1"/>
    <w:rsid w:val="008D14A2"/>
    <w:rsid w:val="008D3E67"/>
    <w:rsid w:val="008F763E"/>
    <w:rsid w:val="009057D7"/>
    <w:rsid w:val="00907203"/>
    <w:rsid w:val="00924D3F"/>
    <w:rsid w:val="0093285C"/>
    <w:rsid w:val="00935558"/>
    <w:rsid w:val="009446E5"/>
    <w:rsid w:val="009653CD"/>
    <w:rsid w:val="009738F4"/>
    <w:rsid w:val="0099609D"/>
    <w:rsid w:val="009A1965"/>
    <w:rsid w:val="009D0619"/>
    <w:rsid w:val="009D496A"/>
    <w:rsid w:val="009E6E21"/>
    <w:rsid w:val="00A012A3"/>
    <w:rsid w:val="00A02A02"/>
    <w:rsid w:val="00A12DDF"/>
    <w:rsid w:val="00A26637"/>
    <w:rsid w:val="00A5045F"/>
    <w:rsid w:val="00A6293B"/>
    <w:rsid w:val="00AC7F9D"/>
    <w:rsid w:val="00AD6E91"/>
    <w:rsid w:val="00AD7D3A"/>
    <w:rsid w:val="00AE52ED"/>
    <w:rsid w:val="00AF15B9"/>
    <w:rsid w:val="00B028C5"/>
    <w:rsid w:val="00B167C3"/>
    <w:rsid w:val="00B25974"/>
    <w:rsid w:val="00B41E7B"/>
    <w:rsid w:val="00B55567"/>
    <w:rsid w:val="00B613FD"/>
    <w:rsid w:val="00B82CAF"/>
    <w:rsid w:val="00B8644D"/>
    <w:rsid w:val="00B970FB"/>
    <w:rsid w:val="00BB3F5A"/>
    <w:rsid w:val="00BC3485"/>
    <w:rsid w:val="00BC3D04"/>
    <w:rsid w:val="00BD4116"/>
    <w:rsid w:val="00BF0B02"/>
    <w:rsid w:val="00BF39DB"/>
    <w:rsid w:val="00C06127"/>
    <w:rsid w:val="00C07A7E"/>
    <w:rsid w:val="00C13825"/>
    <w:rsid w:val="00C1575B"/>
    <w:rsid w:val="00C27154"/>
    <w:rsid w:val="00C31BC8"/>
    <w:rsid w:val="00C52958"/>
    <w:rsid w:val="00C53522"/>
    <w:rsid w:val="00C60639"/>
    <w:rsid w:val="00C64BF9"/>
    <w:rsid w:val="00C97844"/>
    <w:rsid w:val="00D06FDB"/>
    <w:rsid w:val="00D11615"/>
    <w:rsid w:val="00D15FA5"/>
    <w:rsid w:val="00D15FAE"/>
    <w:rsid w:val="00D4008D"/>
    <w:rsid w:val="00D57A61"/>
    <w:rsid w:val="00D60274"/>
    <w:rsid w:val="00D65F1B"/>
    <w:rsid w:val="00D72DC5"/>
    <w:rsid w:val="00D73613"/>
    <w:rsid w:val="00D7642C"/>
    <w:rsid w:val="00DE247F"/>
    <w:rsid w:val="00E14E91"/>
    <w:rsid w:val="00E179F8"/>
    <w:rsid w:val="00E32124"/>
    <w:rsid w:val="00E35C94"/>
    <w:rsid w:val="00E61DDD"/>
    <w:rsid w:val="00E629CA"/>
    <w:rsid w:val="00E63389"/>
    <w:rsid w:val="00E6590B"/>
    <w:rsid w:val="00E77F1B"/>
    <w:rsid w:val="00E83695"/>
    <w:rsid w:val="00EA76A4"/>
    <w:rsid w:val="00EB7839"/>
    <w:rsid w:val="00ED286B"/>
    <w:rsid w:val="00EF50FB"/>
    <w:rsid w:val="00F03C23"/>
    <w:rsid w:val="00F356E8"/>
    <w:rsid w:val="00F45B7F"/>
    <w:rsid w:val="00F56E18"/>
    <w:rsid w:val="00F63420"/>
    <w:rsid w:val="00F65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8C"/>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211F"/>
    <w:pPr>
      <w:suppressAutoHyphens/>
      <w:ind w:left="720"/>
      <w:contextualSpacing/>
    </w:pPr>
    <w:rPr>
      <w:rFonts w:eastAsia="MS Mincho" w:cs="Calibri"/>
      <w:lang w:eastAsia="ar-SA"/>
    </w:rPr>
  </w:style>
  <w:style w:type="character" w:styleId="Hyperlink">
    <w:name w:val="Hyperlink"/>
    <w:basedOn w:val="DefaultParagraphFont"/>
    <w:uiPriority w:val="99"/>
    <w:unhideWhenUsed/>
    <w:rsid w:val="00E61DDD"/>
    <w:rPr>
      <w:color w:val="0000FF"/>
      <w:u w:val="single"/>
    </w:rPr>
  </w:style>
  <w:style w:type="paragraph" w:styleId="BalloonText">
    <w:name w:val="Balloon Text"/>
    <w:basedOn w:val="Normal"/>
    <w:link w:val="BalloonTextChar"/>
    <w:uiPriority w:val="99"/>
    <w:semiHidden/>
    <w:unhideWhenUsed/>
    <w:rsid w:val="00691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D6D"/>
    <w:rPr>
      <w:rFonts w:ascii="Tahoma" w:hAnsi="Tahoma" w:cs="Tahoma"/>
      <w:sz w:val="16"/>
      <w:szCs w:val="16"/>
      <w:lang w:val="en-GB" w:eastAsia="en-US"/>
    </w:rPr>
  </w:style>
  <w:style w:type="paragraph" w:styleId="Header">
    <w:name w:val="header"/>
    <w:basedOn w:val="Normal"/>
    <w:link w:val="HeaderChar"/>
    <w:uiPriority w:val="99"/>
    <w:semiHidden/>
    <w:unhideWhenUsed/>
    <w:rsid w:val="008F763E"/>
    <w:pPr>
      <w:tabs>
        <w:tab w:val="center" w:pos="4819"/>
        <w:tab w:val="right" w:pos="9638"/>
      </w:tabs>
    </w:pPr>
  </w:style>
  <w:style w:type="character" w:customStyle="1" w:styleId="HeaderChar">
    <w:name w:val="Header Char"/>
    <w:basedOn w:val="DefaultParagraphFont"/>
    <w:link w:val="Header"/>
    <w:uiPriority w:val="99"/>
    <w:semiHidden/>
    <w:rsid w:val="008F763E"/>
    <w:rPr>
      <w:sz w:val="22"/>
      <w:szCs w:val="22"/>
      <w:lang w:val="en-GB" w:eastAsia="en-US"/>
    </w:rPr>
  </w:style>
  <w:style w:type="paragraph" w:styleId="Footer">
    <w:name w:val="footer"/>
    <w:basedOn w:val="Normal"/>
    <w:link w:val="FooterChar"/>
    <w:uiPriority w:val="99"/>
    <w:unhideWhenUsed/>
    <w:rsid w:val="008F763E"/>
    <w:pPr>
      <w:tabs>
        <w:tab w:val="center" w:pos="4819"/>
        <w:tab w:val="right" w:pos="9638"/>
      </w:tabs>
    </w:pPr>
  </w:style>
  <w:style w:type="character" w:customStyle="1" w:styleId="FooterChar">
    <w:name w:val="Footer Char"/>
    <w:basedOn w:val="DefaultParagraphFont"/>
    <w:link w:val="Footer"/>
    <w:uiPriority w:val="99"/>
    <w:rsid w:val="008F763E"/>
    <w:rPr>
      <w:sz w:val="22"/>
      <w:szCs w:val="22"/>
      <w:lang w:val="en-GB" w:eastAsia="en-US"/>
    </w:rPr>
  </w:style>
  <w:style w:type="character" w:customStyle="1" w:styleId="ListParagraphChar">
    <w:name w:val="List Paragraph Char"/>
    <w:basedOn w:val="DefaultParagraphFont"/>
    <w:link w:val="ListParagraph"/>
    <w:uiPriority w:val="34"/>
    <w:locked/>
    <w:rsid w:val="000A3139"/>
    <w:rPr>
      <w:rFonts w:eastAsia="MS Mincho" w:cs="Calibri"/>
      <w:sz w:val="22"/>
      <w:szCs w:val="22"/>
      <w:lang w:val="en-GB" w:eastAsia="ar-SA"/>
    </w:rPr>
  </w:style>
</w:styles>
</file>

<file path=word/webSettings.xml><?xml version="1.0" encoding="utf-8"?>
<w:webSettings xmlns:r="http://schemas.openxmlformats.org/officeDocument/2006/relationships" xmlns:w="http://schemas.openxmlformats.org/wordprocessingml/2006/main">
  <w:divs>
    <w:div w:id="15082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ho.int/chp/steps/UR_Tanzania_FactSheet_20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3073</Words>
  <Characters>17521</Characters>
  <Application>Microsoft Office Word</Application>
  <DocSecurity>0</DocSecurity>
  <Lines>146</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20553</CharactersWithSpaces>
  <SharedDoc>false</SharedDoc>
  <HLinks>
    <vt:vector size="6" baseType="variant">
      <vt:variant>
        <vt:i4>4718641</vt:i4>
      </vt:variant>
      <vt:variant>
        <vt:i4>0</vt:i4>
      </vt:variant>
      <vt:variant>
        <vt:i4>0</vt:i4>
      </vt:variant>
      <vt:variant>
        <vt:i4>5</vt:i4>
      </vt:variant>
      <vt:variant>
        <vt:lpwstr>http://www.who.int/chp/steps/UR_Tanzania_FactSheet_2012.pdf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Bjarne</dc:creator>
  <cp:lastModifiedBy>user</cp:lastModifiedBy>
  <cp:revision>6</cp:revision>
  <cp:lastPrinted>2014-07-14T05:40:00Z</cp:lastPrinted>
  <dcterms:created xsi:type="dcterms:W3CDTF">2014-10-29T08:50:00Z</dcterms:created>
  <dcterms:modified xsi:type="dcterms:W3CDTF">2014-10-29T11:06:00Z</dcterms:modified>
</cp:coreProperties>
</file>