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937" w:rsidRPr="00636976" w:rsidRDefault="00692937" w:rsidP="00692937">
      <w:pPr>
        <w:spacing w:after="0" w:line="240" w:lineRule="auto"/>
        <w:contextualSpacing/>
        <w:mirrorIndents/>
        <w:jc w:val="center"/>
        <w:rPr>
          <w:rFonts w:ascii="Garamond" w:hAnsi="Garamond"/>
          <w:b/>
          <w:sz w:val="24"/>
          <w:szCs w:val="24"/>
        </w:rPr>
      </w:pPr>
    </w:p>
    <w:p w:rsidR="00636976" w:rsidRPr="009278EB" w:rsidRDefault="00636976" w:rsidP="003D7A2D">
      <w:pPr>
        <w:spacing w:after="0" w:line="240" w:lineRule="auto"/>
        <w:contextualSpacing/>
        <w:mirrorIndents/>
        <w:jc w:val="center"/>
        <w:rPr>
          <w:rFonts w:cs="Times New Roman"/>
          <w:b/>
          <w:sz w:val="40"/>
          <w:szCs w:val="40"/>
        </w:rPr>
      </w:pPr>
      <w:r w:rsidRPr="009278EB">
        <w:rPr>
          <w:rFonts w:cs="Times New Roman"/>
          <w:b/>
          <w:sz w:val="40"/>
          <w:szCs w:val="40"/>
        </w:rPr>
        <w:t>Rapid Budget Analysis 201</w:t>
      </w:r>
      <w:r w:rsidR="002F7051" w:rsidRPr="009278EB">
        <w:rPr>
          <w:rFonts w:cs="Times New Roman"/>
          <w:b/>
          <w:sz w:val="40"/>
          <w:szCs w:val="40"/>
        </w:rPr>
        <w:t>3</w:t>
      </w:r>
    </w:p>
    <w:p w:rsidR="00636976" w:rsidRPr="00716398" w:rsidRDefault="00636976" w:rsidP="003D7A2D">
      <w:pPr>
        <w:spacing w:after="0" w:line="240" w:lineRule="auto"/>
        <w:contextualSpacing/>
        <w:mirrorIndents/>
        <w:jc w:val="center"/>
        <w:rPr>
          <w:rFonts w:cs="Times New Roman"/>
          <w:sz w:val="28"/>
          <w:szCs w:val="28"/>
        </w:rPr>
      </w:pPr>
    </w:p>
    <w:p w:rsidR="009278EB" w:rsidRPr="00716398" w:rsidRDefault="009278EB" w:rsidP="003D7A2D">
      <w:pPr>
        <w:spacing w:after="0" w:line="240" w:lineRule="auto"/>
        <w:contextualSpacing/>
        <w:mirrorIndents/>
        <w:jc w:val="center"/>
        <w:rPr>
          <w:rFonts w:cs="Times New Roman"/>
          <w:sz w:val="28"/>
          <w:szCs w:val="28"/>
        </w:rPr>
      </w:pPr>
    </w:p>
    <w:p w:rsidR="00636976" w:rsidRPr="008138F9" w:rsidRDefault="00636976" w:rsidP="003D7A2D">
      <w:pPr>
        <w:spacing w:after="0" w:line="240" w:lineRule="auto"/>
        <w:contextualSpacing/>
        <w:mirrorIndents/>
        <w:jc w:val="center"/>
        <w:rPr>
          <w:rFonts w:cs="Times New Roman"/>
          <w:b/>
          <w:sz w:val="28"/>
          <w:szCs w:val="28"/>
        </w:rPr>
      </w:pPr>
    </w:p>
    <w:p w:rsidR="00636976" w:rsidRPr="008138F9" w:rsidRDefault="00636976" w:rsidP="003D7A2D">
      <w:pPr>
        <w:spacing w:after="0" w:line="240" w:lineRule="auto"/>
        <w:contextualSpacing/>
        <w:mirrorIndents/>
        <w:jc w:val="center"/>
        <w:rPr>
          <w:rFonts w:cs="Times New Roman"/>
          <w:b/>
          <w:sz w:val="28"/>
          <w:szCs w:val="28"/>
        </w:rPr>
      </w:pPr>
      <w:r w:rsidRPr="008138F9">
        <w:rPr>
          <w:rFonts w:cs="Times New Roman"/>
          <w:b/>
          <w:sz w:val="28"/>
          <w:szCs w:val="28"/>
        </w:rPr>
        <w:t>Synoptic Note</w:t>
      </w:r>
    </w:p>
    <w:p w:rsidR="00636976" w:rsidRPr="008138F9" w:rsidRDefault="00636976" w:rsidP="003D7A2D">
      <w:pPr>
        <w:spacing w:after="0" w:line="240" w:lineRule="auto"/>
        <w:contextualSpacing/>
        <w:mirrorIndents/>
        <w:jc w:val="center"/>
        <w:rPr>
          <w:rFonts w:cs="Times New Roman"/>
          <w:b/>
          <w:sz w:val="24"/>
          <w:szCs w:val="24"/>
        </w:rPr>
      </w:pPr>
    </w:p>
    <w:p w:rsidR="00636976" w:rsidRPr="008138F9" w:rsidRDefault="00636976" w:rsidP="003D7A2D">
      <w:pPr>
        <w:spacing w:after="0" w:line="240" w:lineRule="auto"/>
        <w:contextualSpacing/>
        <w:mirrorIndents/>
        <w:jc w:val="center"/>
        <w:rPr>
          <w:rFonts w:cs="Times New Roman"/>
          <w:b/>
          <w:sz w:val="24"/>
          <w:szCs w:val="24"/>
        </w:rPr>
      </w:pPr>
    </w:p>
    <w:p w:rsidR="009278EB" w:rsidRDefault="009278EB" w:rsidP="003D7A2D">
      <w:pPr>
        <w:spacing w:after="0" w:line="240" w:lineRule="auto"/>
        <w:contextualSpacing/>
        <w:mirrorIndents/>
        <w:jc w:val="center"/>
        <w:rPr>
          <w:rFonts w:cs="Times New Roman"/>
          <w:sz w:val="32"/>
          <w:szCs w:val="32"/>
        </w:rPr>
      </w:pPr>
    </w:p>
    <w:p w:rsidR="00636976" w:rsidRPr="008138F9" w:rsidRDefault="00A017B3" w:rsidP="003D7A2D">
      <w:pPr>
        <w:spacing w:after="0" w:line="240" w:lineRule="auto"/>
        <w:contextualSpacing/>
        <w:mirrorIndents/>
        <w:jc w:val="center"/>
        <w:rPr>
          <w:rFonts w:cs="Times New Roman"/>
          <w:sz w:val="32"/>
          <w:szCs w:val="32"/>
        </w:rPr>
      </w:pPr>
      <w:r w:rsidRPr="008138F9">
        <w:rPr>
          <w:rFonts w:cs="Times New Roman"/>
          <w:sz w:val="32"/>
          <w:szCs w:val="32"/>
        </w:rPr>
        <w:t>DRAFT</w:t>
      </w:r>
    </w:p>
    <w:p w:rsidR="00636976" w:rsidRPr="008138F9" w:rsidRDefault="00636976" w:rsidP="003D7A2D">
      <w:pPr>
        <w:spacing w:after="0" w:line="240" w:lineRule="auto"/>
        <w:contextualSpacing/>
        <w:mirrorIndents/>
        <w:jc w:val="center"/>
        <w:rPr>
          <w:rFonts w:cs="Times New Roman"/>
          <w:b/>
          <w:sz w:val="24"/>
          <w:szCs w:val="24"/>
        </w:rPr>
      </w:pPr>
    </w:p>
    <w:p w:rsidR="00636976" w:rsidRPr="008138F9" w:rsidRDefault="00636976" w:rsidP="003D7A2D">
      <w:pPr>
        <w:spacing w:after="0" w:line="240" w:lineRule="auto"/>
        <w:contextualSpacing/>
        <w:mirrorIndents/>
        <w:jc w:val="center"/>
        <w:rPr>
          <w:rFonts w:cs="Times New Roman"/>
          <w:b/>
          <w:sz w:val="24"/>
          <w:szCs w:val="24"/>
        </w:rPr>
      </w:pPr>
    </w:p>
    <w:p w:rsidR="00A017B3" w:rsidRPr="008138F9" w:rsidRDefault="00A017B3" w:rsidP="003D7A2D">
      <w:pPr>
        <w:spacing w:after="0" w:line="240" w:lineRule="auto"/>
        <w:contextualSpacing/>
        <w:mirrorIndents/>
        <w:jc w:val="center"/>
        <w:rPr>
          <w:rFonts w:cs="Times New Roman"/>
          <w:b/>
          <w:sz w:val="24"/>
          <w:szCs w:val="24"/>
        </w:rPr>
      </w:pPr>
    </w:p>
    <w:p w:rsidR="00A017B3" w:rsidRPr="008138F9" w:rsidRDefault="00A017B3" w:rsidP="003D7A2D">
      <w:pPr>
        <w:spacing w:after="0" w:line="240" w:lineRule="auto"/>
        <w:contextualSpacing/>
        <w:mirrorIndents/>
        <w:jc w:val="center"/>
        <w:rPr>
          <w:rFonts w:cs="Times New Roman"/>
          <w:b/>
          <w:sz w:val="24"/>
          <w:szCs w:val="24"/>
        </w:rPr>
      </w:pPr>
    </w:p>
    <w:p w:rsidR="00A017B3" w:rsidRPr="008138F9" w:rsidRDefault="00A017B3" w:rsidP="003D7A2D">
      <w:pPr>
        <w:spacing w:after="0" w:line="240" w:lineRule="auto"/>
        <w:contextualSpacing/>
        <w:mirrorIndents/>
        <w:jc w:val="center"/>
        <w:rPr>
          <w:rFonts w:cs="Times New Roman"/>
          <w:b/>
          <w:sz w:val="24"/>
          <w:szCs w:val="24"/>
        </w:rPr>
      </w:pPr>
    </w:p>
    <w:p w:rsidR="00A017B3" w:rsidRPr="008138F9" w:rsidRDefault="00A017B3" w:rsidP="003D7A2D">
      <w:pPr>
        <w:spacing w:after="0" w:line="240" w:lineRule="auto"/>
        <w:contextualSpacing/>
        <w:mirrorIndents/>
        <w:jc w:val="center"/>
        <w:rPr>
          <w:rFonts w:cs="Times New Roman"/>
          <w:b/>
          <w:sz w:val="24"/>
          <w:szCs w:val="24"/>
        </w:rPr>
      </w:pPr>
    </w:p>
    <w:p w:rsidR="00A017B3" w:rsidRPr="008138F9" w:rsidRDefault="00A017B3" w:rsidP="003D7A2D">
      <w:pPr>
        <w:spacing w:after="0" w:line="240" w:lineRule="auto"/>
        <w:contextualSpacing/>
        <w:mirrorIndents/>
        <w:jc w:val="center"/>
        <w:rPr>
          <w:rFonts w:cs="Times New Roman"/>
          <w:b/>
          <w:sz w:val="24"/>
          <w:szCs w:val="24"/>
        </w:rPr>
      </w:pPr>
    </w:p>
    <w:p w:rsidR="00636976" w:rsidRPr="008138F9" w:rsidRDefault="009D221A" w:rsidP="003D7A2D">
      <w:pPr>
        <w:spacing w:after="0" w:line="240" w:lineRule="auto"/>
        <w:contextualSpacing/>
        <w:mirrorIndents/>
        <w:jc w:val="center"/>
        <w:rPr>
          <w:rFonts w:cs="Times New Roman"/>
          <w:b/>
          <w:sz w:val="24"/>
          <w:szCs w:val="24"/>
        </w:rPr>
      </w:pPr>
      <w:r>
        <w:rPr>
          <w:rFonts w:cs="Times New Roman"/>
          <w:b/>
          <w:sz w:val="24"/>
          <w:szCs w:val="24"/>
        </w:rPr>
        <w:t xml:space="preserve">November </w:t>
      </w:r>
      <w:r w:rsidR="009278EB">
        <w:rPr>
          <w:rFonts w:cs="Times New Roman"/>
          <w:b/>
          <w:sz w:val="24"/>
          <w:szCs w:val="24"/>
        </w:rPr>
        <w:t>1</w:t>
      </w:r>
      <w:r w:rsidR="00DF06CC">
        <w:rPr>
          <w:rFonts w:cs="Times New Roman"/>
          <w:b/>
          <w:sz w:val="24"/>
          <w:szCs w:val="24"/>
        </w:rPr>
        <w:t>5</w:t>
      </w:r>
      <w:r w:rsidR="00A017B3" w:rsidRPr="008138F9">
        <w:rPr>
          <w:rFonts w:cs="Times New Roman"/>
          <w:b/>
          <w:sz w:val="24"/>
          <w:szCs w:val="24"/>
        </w:rPr>
        <w:t>, 201</w:t>
      </w:r>
      <w:r w:rsidR="002F7051" w:rsidRPr="008138F9">
        <w:rPr>
          <w:rFonts w:cs="Times New Roman"/>
          <w:b/>
          <w:sz w:val="24"/>
          <w:szCs w:val="24"/>
        </w:rPr>
        <w:t>3</w:t>
      </w:r>
    </w:p>
    <w:p w:rsidR="00636976" w:rsidRPr="008138F9" w:rsidRDefault="00636976" w:rsidP="003D7A2D">
      <w:pPr>
        <w:rPr>
          <w:rFonts w:cs="Times New Roman"/>
          <w:b/>
          <w:sz w:val="24"/>
          <w:szCs w:val="24"/>
        </w:rPr>
      </w:pPr>
    </w:p>
    <w:p w:rsidR="00636976" w:rsidRPr="008138F9" w:rsidRDefault="00636976" w:rsidP="003D7A2D">
      <w:pPr>
        <w:rPr>
          <w:rFonts w:cs="Times New Roman"/>
          <w:b/>
          <w:sz w:val="24"/>
          <w:szCs w:val="24"/>
        </w:rPr>
      </w:pPr>
    </w:p>
    <w:p w:rsidR="00636976" w:rsidRPr="008138F9" w:rsidRDefault="00636976" w:rsidP="003D7A2D">
      <w:pPr>
        <w:rPr>
          <w:rFonts w:cs="Times New Roman"/>
          <w:b/>
          <w:sz w:val="24"/>
          <w:szCs w:val="24"/>
        </w:rPr>
      </w:pPr>
    </w:p>
    <w:p w:rsidR="00636976" w:rsidRPr="008138F9" w:rsidRDefault="00636976" w:rsidP="003D7A2D">
      <w:pPr>
        <w:rPr>
          <w:rFonts w:cs="Times New Roman"/>
          <w:b/>
          <w:sz w:val="24"/>
          <w:szCs w:val="24"/>
        </w:rPr>
      </w:pPr>
    </w:p>
    <w:p w:rsidR="00636976" w:rsidRPr="008138F9" w:rsidRDefault="00636976" w:rsidP="003D7A2D">
      <w:pPr>
        <w:rPr>
          <w:rFonts w:cs="Times New Roman"/>
          <w:b/>
          <w:sz w:val="24"/>
          <w:szCs w:val="24"/>
        </w:rPr>
      </w:pPr>
    </w:p>
    <w:p w:rsidR="00636976" w:rsidRPr="008138F9" w:rsidRDefault="00636976" w:rsidP="003D7A2D">
      <w:pPr>
        <w:rPr>
          <w:rFonts w:cs="Times New Roman"/>
          <w:b/>
          <w:sz w:val="24"/>
          <w:szCs w:val="24"/>
        </w:rPr>
      </w:pPr>
    </w:p>
    <w:p w:rsidR="00FC4021" w:rsidRPr="008138F9" w:rsidRDefault="00FC4021" w:rsidP="003D7A2D">
      <w:pPr>
        <w:spacing w:after="0" w:line="240" w:lineRule="auto"/>
        <w:contextualSpacing/>
        <w:mirrorIndents/>
        <w:jc w:val="both"/>
        <w:rPr>
          <w:rFonts w:cs="Times New Roman"/>
          <w:sz w:val="20"/>
          <w:szCs w:val="20"/>
        </w:rPr>
      </w:pPr>
    </w:p>
    <w:p w:rsidR="00FC4021" w:rsidRPr="008138F9" w:rsidRDefault="00FC4021" w:rsidP="003D7A2D">
      <w:pPr>
        <w:spacing w:after="0" w:line="240" w:lineRule="auto"/>
        <w:contextualSpacing/>
        <w:mirrorIndents/>
        <w:jc w:val="both"/>
        <w:rPr>
          <w:rFonts w:cs="Times New Roman"/>
          <w:sz w:val="20"/>
          <w:szCs w:val="20"/>
        </w:rPr>
      </w:pPr>
    </w:p>
    <w:p w:rsidR="00FC4021" w:rsidRPr="008138F9" w:rsidRDefault="00FC4021" w:rsidP="003D7A2D">
      <w:pPr>
        <w:spacing w:after="0" w:line="240" w:lineRule="auto"/>
        <w:contextualSpacing/>
        <w:mirrorIndents/>
        <w:jc w:val="both"/>
        <w:rPr>
          <w:rFonts w:cs="Times New Roman"/>
          <w:sz w:val="20"/>
          <w:szCs w:val="20"/>
        </w:rPr>
      </w:pPr>
    </w:p>
    <w:p w:rsidR="00FC4021" w:rsidRPr="008138F9" w:rsidRDefault="00FC4021" w:rsidP="003D7A2D">
      <w:pPr>
        <w:spacing w:after="0" w:line="240" w:lineRule="auto"/>
        <w:contextualSpacing/>
        <w:mirrorIndents/>
        <w:jc w:val="both"/>
        <w:rPr>
          <w:rFonts w:cs="Times New Roman"/>
          <w:sz w:val="20"/>
          <w:szCs w:val="20"/>
        </w:rPr>
      </w:pPr>
    </w:p>
    <w:p w:rsidR="00636976" w:rsidRPr="008138F9" w:rsidRDefault="00636976" w:rsidP="003D7A2D">
      <w:pPr>
        <w:spacing w:after="0" w:line="240" w:lineRule="auto"/>
        <w:contextualSpacing/>
        <w:mirrorIndents/>
        <w:jc w:val="both"/>
        <w:rPr>
          <w:rFonts w:cs="Times New Roman"/>
          <w:sz w:val="20"/>
          <w:szCs w:val="20"/>
        </w:rPr>
      </w:pPr>
      <w:r w:rsidRPr="008138F9">
        <w:rPr>
          <w:rFonts w:cs="Times New Roman"/>
          <w:sz w:val="20"/>
          <w:szCs w:val="20"/>
        </w:rPr>
        <w:t>The Rapid Budget Analysis is a programmatic feature of Tanzania’s budget calendar</w:t>
      </w:r>
      <w:r w:rsidR="002F7051" w:rsidRPr="008138F9">
        <w:rPr>
          <w:rFonts w:cs="Times New Roman"/>
          <w:sz w:val="20"/>
          <w:szCs w:val="20"/>
        </w:rPr>
        <w:t xml:space="preserve"> and one of the traditional outputs for the PER Working Group.  </w:t>
      </w:r>
      <w:r w:rsidRPr="008138F9">
        <w:rPr>
          <w:rFonts w:cs="Times New Roman"/>
          <w:sz w:val="20"/>
          <w:szCs w:val="20"/>
        </w:rPr>
        <w:t xml:space="preserve">It is produced by PER-Macro group involving close donor-Ministry of Finance collaboration.  The </w:t>
      </w:r>
      <w:r w:rsidR="002F7051" w:rsidRPr="008138F9">
        <w:rPr>
          <w:rFonts w:cs="Times New Roman"/>
          <w:sz w:val="20"/>
          <w:szCs w:val="20"/>
        </w:rPr>
        <w:t>RBA utilizes the detailed approved data for 2013/14 and detailed pre-audited actual spending data for 2012/13, all provided promptly by the Ministry of Finance.</w:t>
      </w:r>
      <w:r w:rsidRPr="008138F9">
        <w:rPr>
          <w:rFonts w:cs="Times New Roman"/>
          <w:sz w:val="20"/>
          <w:szCs w:val="20"/>
        </w:rPr>
        <w:t xml:space="preserve"> The Synoptic Note was produced by World Bank staff</w:t>
      </w:r>
      <w:r w:rsidR="00080754" w:rsidRPr="008138F9">
        <w:rPr>
          <w:rFonts w:cs="Times New Roman"/>
          <w:sz w:val="20"/>
          <w:szCs w:val="20"/>
        </w:rPr>
        <w:t>, with inputs from</w:t>
      </w:r>
      <w:r w:rsidR="003D2262">
        <w:rPr>
          <w:rFonts w:cs="Times New Roman"/>
          <w:sz w:val="20"/>
          <w:szCs w:val="20"/>
        </w:rPr>
        <w:t xml:space="preserve"> IMF</w:t>
      </w:r>
      <w:r w:rsidR="00080754" w:rsidRPr="008138F9">
        <w:rPr>
          <w:rFonts w:cs="Times New Roman"/>
          <w:sz w:val="20"/>
          <w:szCs w:val="20"/>
        </w:rPr>
        <w:t>,</w:t>
      </w:r>
      <w:r w:rsidRPr="008138F9">
        <w:rPr>
          <w:rFonts w:cs="Times New Roman"/>
          <w:sz w:val="20"/>
          <w:szCs w:val="20"/>
        </w:rPr>
        <w:t xml:space="preserve"> while the background notes were produced by staff and consultants from Japan, Norway, Sweden, UN, EC, Denmark, Belgium, Canada, </w:t>
      </w:r>
      <w:proofErr w:type="spellStart"/>
      <w:r w:rsidRPr="008138F9">
        <w:rPr>
          <w:rFonts w:cs="Times New Roman"/>
          <w:sz w:val="20"/>
          <w:szCs w:val="20"/>
        </w:rPr>
        <w:t>KfW</w:t>
      </w:r>
      <w:proofErr w:type="spellEnd"/>
      <w:r w:rsidRPr="008138F9">
        <w:rPr>
          <w:rFonts w:cs="Times New Roman"/>
          <w:sz w:val="20"/>
          <w:szCs w:val="20"/>
        </w:rPr>
        <w:t xml:space="preserve">, </w:t>
      </w:r>
      <w:proofErr w:type="spellStart"/>
      <w:r w:rsidRPr="008138F9">
        <w:rPr>
          <w:rFonts w:cs="Times New Roman"/>
          <w:sz w:val="20"/>
          <w:szCs w:val="20"/>
        </w:rPr>
        <w:t>AfDB</w:t>
      </w:r>
      <w:proofErr w:type="spellEnd"/>
      <w:r w:rsidRPr="008138F9">
        <w:rPr>
          <w:rFonts w:cs="Times New Roman"/>
          <w:sz w:val="20"/>
          <w:szCs w:val="20"/>
        </w:rPr>
        <w:t>, USAID, Ireland, UK, and the World Bank.  The RBA 201</w:t>
      </w:r>
      <w:r w:rsidR="003D2262">
        <w:rPr>
          <w:rFonts w:cs="Times New Roman"/>
          <w:sz w:val="20"/>
          <w:szCs w:val="20"/>
        </w:rPr>
        <w:t xml:space="preserve">3 is among the traditional outputs of the PER process; and </w:t>
      </w:r>
      <w:r w:rsidRPr="008138F9">
        <w:rPr>
          <w:rFonts w:cs="Times New Roman"/>
          <w:sz w:val="20"/>
          <w:szCs w:val="20"/>
        </w:rPr>
        <w:t>will be discussed with the Budget Guidelines committee chaired jointly by the MoF and the POPC will constitute key input for dialogue with stakeholders during the GBS Annual Review 201</w:t>
      </w:r>
      <w:r w:rsidR="002F7051" w:rsidRPr="008138F9">
        <w:rPr>
          <w:rFonts w:cs="Times New Roman"/>
          <w:sz w:val="20"/>
          <w:szCs w:val="20"/>
        </w:rPr>
        <w:t>3</w:t>
      </w:r>
      <w:r w:rsidRPr="008138F9">
        <w:rPr>
          <w:rFonts w:cs="Times New Roman"/>
          <w:sz w:val="20"/>
          <w:szCs w:val="20"/>
        </w:rPr>
        <w:t>.</w:t>
      </w:r>
    </w:p>
    <w:p w:rsidR="008C1DC9" w:rsidRDefault="007439EA">
      <w:pPr>
        <w:rPr>
          <w:rFonts w:cs="Times New Roman"/>
          <w:b/>
          <w:sz w:val="24"/>
          <w:szCs w:val="24"/>
        </w:rPr>
        <w:sectPr w:rsidR="008C1DC9" w:rsidSect="00210496">
          <w:headerReference w:type="default" r:id="rId9"/>
          <w:pgSz w:w="12240" w:h="15840" w:code="1"/>
          <w:pgMar w:top="1440" w:right="1440" w:bottom="1440" w:left="1440" w:header="720" w:footer="720" w:gutter="0"/>
          <w:cols w:space="720"/>
          <w:docGrid w:linePitch="360"/>
        </w:sectPr>
      </w:pPr>
      <w:r>
        <w:rPr>
          <w:rFonts w:cs="Times New Roman"/>
          <w:b/>
          <w:sz w:val="24"/>
          <w:szCs w:val="24"/>
        </w:rPr>
        <w:br w:type="page"/>
      </w:r>
    </w:p>
    <w:p w:rsidR="00006AFD" w:rsidRPr="00325E39" w:rsidRDefault="00006AFD" w:rsidP="00006AFD">
      <w:pPr>
        <w:spacing w:after="0" w:line="240" w:lineRule="auto"/>
        <w:contextualSpacing/>
        <w:mirrorIndents/>
        <w:jc w:val="both"/>
        <w:rPr>
          <w:rFonts w:cs="Times New Roman"/>
          <w:b/>
          <w:sz w:val="24"/>
          <w:szCs w:val="24"/>
        </w:rPr>
      </w:pPr>
      <w:r w:rsidRPr="00325E39">
        <w:rPr>
          <w:rFonts w:cs="Times New Roman"/>
          <w:b/>
          <w:sz w:val="24"/>
          <w:szCs w:val="24"/>
        </w:rPr>
        <w:t>Main messages</w:t>
      </w:r>
    </w:p>
    <w:p w:rsidR="00006AFD" w:rsidRPr="00325E39" w:rsidRDefault="00006AFD" w:rsidP="00006AFD">
      <w:pPr>
        <w:spacing w:after="0" w:line="240" w:lineRule="auto"/>
        <w:contextualSpacing/>
        <w:mirrorIndents/>
        <w:jc w:val="both"/>
        <w:rPr>
          <w:rFonts w:cs="Times New Roman"/>
          <w:sz w:val="24"/>
          <w:szCs w:val="24"/>
        </w:rPr>
      </w:pPr>
    </w:p>
    <w:p w:rsidR="00006AFD" w:rsidRPr="00325E39" w:rsidRDefault="00006AFD" w:rsidP="00006AFD">
      <w:pPr>
        <w:spacing w:after="0" w:line="240" w:lineRule="auto"/>
        <w:contextualSpacing/>
        <w:mirrorIndents/>
        <w:jc w:val="both"/>
        <w:rPr>
          <w:rFonts w:cs="Times New Roman"/>
          <w:sz w:val="24"/>
          <w:szCs w:val="24"/>
          <w:u w:val="single"/>
        </w:rPr>
      </w:pPr>
      <w:r w:rsidRPr="00325E39">
        <w:rPr>
          <w:rFonts w:cs="Times New Roman"/>
          <w:sz w:val="24"/>
          <w:szCs w:val="24"/>
          <w:u w:val="single"/>
        </w:rPr>
        <w:t>2012/13 Executed Budget</w:t>
      </w:r>
    </w:p>
    <w:p w:rsidR="00006AFD" w:rsidRPr="00325E39" w:rsidRDefault="00006AFD" w:rsidP="00006AFD">
      <w:pPr>
        <w:spacing w:after="0" w:line="240" w:lineRule="auto"/>
        <w:contextualSpacing/>
        <w:mirrorIndents/>
        <w:jc w:val="both"/>
        <w:rPr>
          <w:rFonts w:cs="Times New Roman"/>
          <w:sz w:val="24"/>
          <w:szCs w:val="24"/>
        </w:rPr>
      </w:pPr>
    </w:p>
    <w:p w:rsidR="00006AFD" w:rsidRPr="00325E39" w:rsidRDefault="00006AFD" w:rsidP="00006AFD">
      <w:pPr>
        <w:numPr>
          <w:ilvl w:val="0"/>
          <w:numId w:val="47"/>
        </w:numPr>
        <w:spacing w:after="0" w:line="240" w:lineRule="auto"/>
        <w:ind w:left="360"/>
        <w:contextualSpacing/>
        <w:mirrorIndents/>
        <w:jc w:val="both"/>
        <w:rPr>
          <w:rFonts w:cs="Times New Roman"/>
          <w:sz w:val="24"/>
          <w:szCs w:val="24"/>
        </w:rPr>
      </w:pPr>
      <w:r w:rsidRPr="00325E39">
        <w:rPr>
          <w:rFonts w:cs="Times New Roman"/>
          <w:sz w:val="24"/>
          <w:szCs w:val="24"/>
        </w:rPr>
        <w:t>With stable GDP growth and declining inflation, the Government managed to achieve an impressive macro performance during 2012/13 but missed its fiscal target by 0.7 percent of GDP.  The overall fiscal deficit is now estimated at 6.2 percent of GDP against the anticipated 5.5 percent.  This is a significant deterioration compared to 2011/12.</w:t>
      </w:r>
    </w:p>
    <w:p w:rsidR="00006AFD" w:rsidRPr="00325E39" w:rsidRDefault="00006AFD" w:rsidP="00006AFD">
      <w:pPr>
        <w:spacing w:after="0" w:line="240" w:lineRule="auto"/>
        <w:contextualSpacing/>
        <w:mirrorIndents/>
        <w:jc w:val="both"/>
        <w:rPr>
          <w:rFonts w:cs="Times New Roman"/>
          <w:sz w:val="24"/>
          <w:szCs w:val="24"/>
        </w:rPr>
      </w:pPr>
    </w:p>
    <w:p w:rsidR="00006AFD" w:rsidRPr="00325E39" w:rsidRDefault="00006AFD" w:rsidP="00006AFD">
      <w:pPr>
        <w:numPr>
          <w:ilvl w:val="0"/>
          <w:numId w:val="47"/>
        </w:numPr>
        <w:spacing w:after="0" w:line="240" w:lineRule="auto"/>
        <w:ind w:left="360"/>
        <w:contextualSpacing/>
        <w:mirrorIndents/>
        <w:jc w:val="both"/>
        <w:rPr>
          <w:rFonts w:cs="Times New Roman"/>
          <w:sz w:val="24"/>
          <w:szCs w:val="24"/>
        </w:rPr>
      </w:pPr>
      <w:r w:rsidRPr="00325E39">
        <w:rPr>
          <w:rFonts w:cs="Times New Roman"/>
          <w:sz w:val="24"/>
          <w:szCs w:val="24"/>
        </w:rPr>
        <w:t>The Government collected lower than expected domestic revenues mainly as a result of reduced non-tax revenues and under-performing VAT and duty collection. On the positive side, the level of exemptions granted by customs and TRA went down by 0.8 percent of GDP between 2011/12 and 2012/13.</w:t>
      </w:r>
    </w:p>
    <w:p w:rsidR="00006AFD" w:rsidRPr="00325E39" w:rsidRDefault="00006AFD" w:rsidP="00006AFD">
      <w:pPr>
        <w:spacing w:after="0" w:line="240" w:lineRule="auto"/>
        <w:contextualSpacing/>
        <w:mirrorIndents/>
        <w:jc w:val="both"/>
        <w:rPr>
          <w:rFonts w:cs="Times New Roman"/>
          <w:sz w:val="24"/>
          <w:szCs w:val="24"/>
        </w:rPr>
      </w:pPr>
    </w:p>
    <w:p w:rsidR="00006AFD" w:rsidRPr="00325E39" w:rsidRDefault="00006AFD" w:rsidP="00006AFD">
      <w:pPr>
        <w:numPr>
          <w:ilvl w:val="0"/>
          <w:numId w:val="47"/>
        </w:numPr>
        <w:spacing w:after="0" w:line="240" w:lineRule="auto"/>
        <w:ind w:left="360"/>
        <w:contextualSpacing/>
        <w:mirrorIndents/>
        <w:jc w:val="both"/>
        <w:rPr>
          <w:rFonts w:cs="Times New Roman"/>
          <w:sz w:val="24"/>
          <w:szCs w:val="24"/>
        </w:rPr>
      </w:pPr>
      <w:r w:rsidRPr="00325E39">
        <w:rPr>
          <w:rFonts w:cs="Times New Roman"/>
          <w:sz w:val="24"/>
          <w:szCs w:val="24"/>
        </w:rPr>
        <w:t xml:space="preserve">Public spending increased by 0.7 percent of GDP compared to 2011/12, with an increase in recurrent spending (from 64 percent to 68 percent of total expenditure) and a decline in development spending from 36 percent to 32 percent. This can be attributed to inadequate planning and poor execution of foreign financed projects. A notable development in this regard was the significant reallocation of resources throughout the year in favor of locally-funded development projects and TANESCO. The resultant cuts significantly affected non-priority recurrent spending. </w:t>
      </w:r>
    </w:p>
    <w:p w:rsidR="00006AFD" w:rsidRPr="00325E39" w:rsidRDefault="00006AFD" w:rsidP="00006AFD">
      <w:pPr>
        <w:spacing w:after="0" w:line="240" w:lineRule="auto"/>
        <w:contextualSpacing/>
        <w:mirrorIndents/>
        <w:jc w:val="both"/>
        <w:rPr>
          <w:rFonts w:cs="Times New Roman"/>
          <w:sz w:val="24"/>
          <w:szCs w:val="24"/>
        </w:rPr>
      </w:pPr>
    </w:p>
    <w:p w:rsidR="00006AFD" w:rsidRPr="00325E39" w:rsidRDefault="00006AFD" w:rsidP="00006AFD">
      <w:pPr>
        <w:numPr>
          <w:ilvl w:val="0"/>
          <w:numId w:val="47"/>
        </w:numPr>
        <w:spacing w:after="0" w:line="240" w:lineRule="auto"/>
        <w:ind w:left="360"/>
        <w:contextualSpacing/>
        <w:mirrorIndents/>
        <w:jc w:val="both"/>
        <w:rPr>
          <w:rFonts w:cs="Times New Roman"/>
          <w:sz w:val="24"/>
          <w:szCs w:val="24"/>
        </w:rPr>
      </w:pPr>
      <w:r w:rsidRPr="00325E39">
        <w:rPr>
          <w:rFonts w:cs="Times New Roman"/>
          <w:sz w:val="24"/>
          <w:szCs w:val="24"/>
        </w:rPr>
        <w:t xml:space="preserve">The financing sources of the budget shifted toward more non-concessional borrowing which rose by </w:t>
      </w:r>
      <w:r w:rsidR="00412352">
        <w:rPr>
          <w:rFonts w:cs="Times New Roman"/>
          <w:sz w:val="24"/>
          <w:szCs w:val="24"/>
        </w:rPr>
        <w:t>3.0</w:t>
      </w:r>
      <w:r w:rsidRPr="00325E39">
        <w:rPr>
          <w:rFonts w:cs="Times New Roman"/>
          <w:sz w:val="24"/>
          <w:szCs w:val="24"/>
        </w:rPr>
        <w:t xml:space="preserve"> percent of GDP in 2012/13 (</w:t>
      </w:r>
      <w:r w:rsidR="00412352">
        <w:rPr>
          <w:rFonts w:cs="Times New Roman"/>
          <w:sz w:val="24"/>
          <w:szCs w:val="24"/>
        </w:rPr>
        <w:t xml:space="preserve">excluding on </w:t>
      </w:r>
      <w:r w:rsidRPr="00325E39">
        <w:rPr>
          <w:rFonts w:cs="Times New Roman"/>
          <w:sz w:val="24"/>
          <w:szCs w:val="24"/>
        </w:rPr>
        <w:t>lending to</w:t>
      </w:r>
      <w:r w:rsidR="00412352">
        <w:rPr>
          <w:rFonts w:cs="Times New Roman"/>
          <w:sz w:val="24"/>
          <w:szCs w:val="24"/>
        </w:rPr>
        <w:t xml:space="preserve"> </w:t>
      </w:r>
      <w:r w:rsidR="0074799B">
        <w:rPr>
          <w:rFonts w:cs="Times New Roman"/>
          <w:sz w:val="24"/>
          <w:szCs w:val="24"/>
        </w:rPr>
        <w:t>public enterprises)</w:t>
      </w:r>
      <w:r w:rsidRPr="00325E39">
        <w:rPr>
          <w:rFonts w:cs="Times New Roman"/>
          <w:sz w:val="24"/>
          <w:szCs w:val="24"/>
        </w:rPr>
        <w:t>. Official aid, which remained constant in absolute value, accounted for only 5.</w:t>
      </w:r>
      <w:r>
        <w:rPr>
          <w:rFonts w:cs="Times New Roman"/>
          <w:sz w:val="24"/>
          <w:szCs w:val="24"/>
        </w:rPr>
        <w:t>2</w:t>
      </w:r>
      <w:r w:rsidRPr="00325E39">
        <w:rPr>
          <w:rFonts w:cs="Times New Roman"/>
          <w:sz w:val="24"/>
          <w:szCs w:val="24"/>
        </w:rPr>
        <w:t xml:space="preserve"> percent of GDP against 10 percent in 2007/8.  The main decline was recorded in grants.   </w:t>
      </w:r>
    </w:p>
    <w:p w:rsidR="00006AFD" w:rsidRPr="00325E39" w:rsidRDefault="00006AFD" w:rsidP="00006AFD">
      <w:pPr>
        <w:spacing w:after="0" w:line="240" w:lineRule="auto"/>
        <w:contextualSpacing/>
        <w:mirrorIndents/>
        <w:jc w:val="both"/>
        <w:rPr>
          <w:rFonts w:cs="Times New Roman"/>
          <w:sz w:val="24"/>
          <w:szCs w:val="24"/>
        </w:rPr>
      </w:pPr>
    </w:p>
    <w:p w:rsidR="00006AFD" w:rsidRPr="00325E39" w:rsidRDefault="00006AFD" w:rsidP="00006AFD">
      <w:pPr>
        <w:spacing w:after="0" w:line="240" w:lineRule="auto"/>
        <w:contextualSpacing/>
        <w:mirrorIndents/>
        <w:jc w:val="both"/>
        <w:rPr>
          <w:rFonts w:cs="Times New Roman"/>
          <w:sz w:val="24"/>
          <w:szCs w:val="24"/>
          <w:u w:val="single"/>
        </w:rPr>
      </w:pPr>
      <w:r w:rsidRPr="00325E39">
        <w:rPr>
          <w:rFonts w:cs="Times New Roman"/>
          <w:sz w:val="24"/>
          <w:szCs w:val="24"/>
          <w:u w:val="single"/>
        </w:rPr>
        <w:t>2013/14 Approved Budget</w:t>
      </w:r>
    </w:p>
    <w:p w:rsidR="00006AFD" w:rsidRPr="00325E39" w:rsidRDefault="00006AFD" w:rsidP="00006AFD">
      <w:pPr>
        <w:spacing w:after="0" w:line="240" w:lineRule="auto"/>
        <w:contextualSpacing/>
        <w:mirrorIndents/>
        <w:jc w:val="both"/>
        <w:rPr>
          <w:rFonts w:cs="Times New Roman"/>
          <w:sz w:val="24"/>
          <w:szCs w:val="24"/>
          <w:u w:val="single"/>
        </w:rPr>
      </w:pPr>
    </w:p>
    <w:p w:rsidR="00006AFD" w:rsidRPr="00325E39" w:rsidRDefault="00006AFD" w:rsidP="00006AFD">
      <w:pPr>
        <w:numPr>
          <w:ilvl w:val="0"/>
          <w:numId w:val="47"/>
        </w:numPr>
        <w:spacing w:after="0" w:line="240" w:lineRule="auto"/>
        <w:ind w:left="360"/>
        <w:contextualSpacing/>
        <w:mirrorIndents/>
        <w:jc w:val="both"/>
        <w:rPr>
          <w:rFonts w:cs="Times New Roman"/>
          <w:sz w:val="24"/>
          <w:szCs w:val="24"/>
        </w:rPr>
      </w:pPr>
      <w:r w:rsidRPr="00325E39">
        <w:rPr>
          <w:rFonts w:cs="Times New Roman"/>
          <w:sz w:val="24"/>
          <w:szCs w:val="24"/>
        </w:rPr>
        <w:t>The objective of the 2013/14 approved budget is to reduce the overall fiscal deficit to five percent of GDP.  It is expected that this would be achieved through an unprecedented increase in tax and nontax revenues</w:t>
      </w:r>
      <w:r w:rsidR="00D76874">
        <w:rPr>
          <w:rFonts w:cs="Times New Roman"/>
          <w:sz w:val="24"/>
          <w:szCs w:val="24"/>
        </w:rPr>
        <w:t xml:space="preserve"> (including LGAs own revenues)</w:t>
      </w:r>
      <w:r w:rsidRPr="00325E39">
        <w:rPr>
          <w:rFonts w:cs="Times New Roman"/>
          <w:sz w:val="24"/>
          <w:szCs w:val="24"/>
        </w:rPr>
        <w:t xml:space="preserve"> up by </w:t>
      </w:r>
      <w:r w:rsidR="00D76874">
        <w:rPr>
          <w:rFonts w:cs="Times New Roman"/>
          <w:sz w:val="24"/>
          <w:szCs w:val="24"/>
        </w:rPr>
        <w:t>3.1</w:t>
      </w:r>
      <w:r w:rsidRPr="00325E39">
        <w:rPr>
          <w:rFonts w:cs="Times New Roman"/>
          <w:sz w:val="24"/>
          <w:szCs w:val="24"/>
        </w:rPr>
        <w:t xml:space="preserve"> percent of GDP when compared to 2012/13 actual outturn. The expected gains would then go towards financing the considerable increase in public expenditures which is projected to rise by 2.5 percent of GDP.</w:t>
      </w:r>
    </w:p>
    <w:p w:rsidR="00006AFD" w:rsidRPr="00325E39" w:rsidRDefault="00006AFD" w:rsidP="00006AFD">
      <w:pPr>
        <w:spacing w:after="0" w:line="240" w:lineRule="auto"/>
        <w:mirrorIndents/>
        <w:jc w:val="both"/>
        <w:rPr>
          <w:rFonts w:cs="Times New Roman"/>
          <w:sz w:val="24"/>
          <w:szCs w:val="24"/>
        </w:rPr>
      </w:pPr>
    </w:p>
    <w:p w:rsidR="00006AFD" w:rsidRPr="00325E39" w:rsidRDefault="00006AFD" w:rsidP="00006AFD">
      <w:pPr>
        <w:numPr>
          <w:ilvl w:val="0"/>
          <w:numId w:val="47"/>
        </w:numPr>
        <w:spacing w:after="0" w:line="240" w:lineRule="auto"/>
        <w:ind w:left="360"/>
        <w:contextualSpacing/>
        <w:mirrorIndents/>
        <w:jc w:val="both"/>
        <w:rPr>
          <w:rFonts w:cs="Times New Roman"/>
          <w:sz w:val="24"/>
          <w:szCs w:val="24"/>
        </w:rPr>
      </w:pPr>
      <w:r w:rsidRPr="00325E39">
        <w:rPr>
          <w:rFonts w:cs="Times New Roman"/>
          <w:sz w:val="24"/>
          <w:szCs w:val="24"/>
        </w:rPr>
        <w:t>By exceeding 30 percent of GDP, total expenditures will reach a new record level.  This new level is explained by an increase in both recurrent and development expendit</w:t>
      </w:r>
      <w:r>
        <w:rPr>
          <w:rFonts w:cs="Times New Roman"/>
          <w:sz w:val="24"/>
          <w:szCs w:val="24"/>
        </w:rPr>
        <w:t xml:space="preserve">ures.  The wage bill (including parastatal PE, pension and </w:t>
      </w:r>
      <w:r w:rsidRPr="00325E39">
        <w:rPr>
          <w:rFonts w:cs="Times New Roman"/>
          <w:sz w:val="24"/>
          <w:szCs w:val="24"/>
        </w:rPr>
        <w:t>allowances) will rise by 2.1 percent</w:t>
      </w:r>
      <w:r>
        <w:rPr>
          <w:rFonts w:cs="Times New Roman"/>
          <w:sz w:val="24"/>
          <w:szCs w:val="24"/>
        </w:rPr>
        <w:t xml:space="preserve"> of GDP</w:t>
      </w:r>
      <w:r w:rsidRPr="00325E39">
        <w:rPr>
          <w:rFonts w:cs="Times New Roman"/>
          <w:sz w:val="24"/>
          <w:szCs w:val="24"/>
        </w:rPr>
        <w:t xml:space="preserve"> (driven by higher wages and recruitment); while development expenditures are expected to increase by 1.1 percent of GDP under the Government’s plan to promote investment projects in priority sectors. </w:t>
      </w:r>
    </w:p>
    <w:p w:rsidR="00006AFD" w:rsidRPr="00325E39" w:rsidRDefault="00006AFD" w:rsidP="00006AFD">
      <w:pPr>
        <w:spacing w:after="0" w:line="240" w:lineRule="auto"/>
        <w:ind w:left="720"/>
        <w:contextualSpacing/>
        <w:rPr>
          <w:rFonts w:cs="Times New Roman"/>
          <w:sz w:val="24"/>
          <w:szCs w:val="24"/>
          <w:u w:val="single"/>
        </w:rPr>
      </w:pPr>
    </w:p>
    <w:p w:rsidR="00006AFD" w:rsidRPr="00325E39" w:rsidRDefault="00006AFD" w:rsidP="00006AFD">
      <w:pPr>
        <w:numPr>
          <w:ilvl w:val="0"/>
          <w:numId w:val="47"/>
        </w:numPr>
        <w:spacing w:after="0" w:line="240" w:lineRule="auto"/>
        <w:ind w:left="360"/>
        <w:contextualSpacing/>
        <w:mirrorIndents/>
        <w:jc w:val="both"/>
        <w:rPr>
          <w:rFonts w:cs="Times New Roman"/>
          <w:sz w:val="24"/>
          <w:szCs w:val="24"/>
        </w:rPr>
      </w:pPr>
      <w:r w:rsidRPr="00325E39">
        <w:rPr>
          <w:rFonts w:cs="Times New Roman"/>
          <w:sz w:val="24"/>
          <w:szCs w:val="24"/>
        </w:rPr>
        <w:lastRenderedPageBreak/>
        <w:t xml:space="preserve">The spending allocation of the approved 2013/14 budget appears well aligned with the strategic priorities of recent national strategies, but remains insufficient to finance the Big Results Now initiative whose aim is to accelerate the achievement of results in six priority sectors. Furthermore, against the traditionally inconsistent execution of the development budget it can be expected that resources allocated towards infrastructure sectors will be reduced during the course of the year. Similarly, while the allocated budget to the LGAs is higher than that of 2012/13, these usually suffer </w:t>
      </w:r>
      <w:r w:rsidR="00270369" w:rsidRPr="00325E39">
        <w:rPr>
          <w:rFonts w:cs="Times New Roman"/>
          <w:sz w:val="24"/>
          <w:szCs w:val="24"/>
        </w:rPr>
        <w:t>from irregular</w:t>
      </w:r>
      <w:r w:rsidRPr="00325E39">
        <w:rPr>
          <w:rFonts w:cs="Times New Roman"/>
          <w:sz w:val="24"/>
          <w:szCs w:val="24"/>
        </w:rPr>
        <w:t xml:space="preserve"> implementation of those transfers each year. </w:t>
      </w:r>
    </w:p>
    <w:p w:rsidR="00006AFD" w:rsidRPr="00325E39" w:rsidRDefault="00006AFD" w:rsidP="00006AFD">
      <w:pPr>
        <w:spacing w:after="0" w:line="240" w:lineRule="auto"/>
        <w:ind w:left="720"/>
        <w:contextualSpacing/>
        <w:rPr>
          <w:rFonts w:cs="Times New Roman"/>
          <w:sz w:val="24"/>
          <w:szCs w:val="24"/>
        </w:rPr>
      </w:pPr>
    </w:p>
    <w:p w:rsidR="00006AFD" w:rsidRPr="00325E39" w:rsidRDefault="00006AFD" w:rsidP="00006AFD">
      <w:pPr>
        <w:numPr>
          <w:ilvl w:val="0"/>
          <w:numId w:val="47"/>
        </w:numPr>
        <w:spacing w:after="0" w:line="240" w:lineRule="auto"/>
        <w:ind w:left="360"/>
        <w:contextualSpacing/>
        <w:mirrorIndents/>
        <w:jc w:val="both"/>
        <w:rPr>
          <w:rFonts w:cs="Times New Roman"/>
          <w:sz w:val="24"/>
          <w:szCs w:val="24"/>
        </w:rPr>
      </w:pPr>
      <w:r w:rsidRPr="00325E39">
        <w:rPr>
          <w:rFonts w:cs="Times New Roman"/>
          <w:sz w:val="24"/>
          <w:szCs w:val="24"/>
        </w:rPr>
        <w:t>The combination of new taxes, higher tax rates, and improved collection efforts are expected to lead to an increase in domestic revenues</w:t>
      </w:r>
      <w:r w:rsidR="003930E7">
        <w:rPr>
          <w:rFonts w:cs="Times New Roman"/>
          <w:sz w:val="24"/>
          <w:szCs w:val="24"/>
        </w:rPr>
        <w:t xml:space="preserve"> (including LGAs own revenue)</w:t>
      </w:r>
      <w:r w:rsidRPr="00325E39">
        <w:rPr>
          <w:rFonts w:cs="Times New Roman"/>
          <w:sz w:val="24"/>
          <w:szCs w:val="24"/>
        </w:rPr>
        <w:t xml:space="preserve"> by </w:t>
      </w:r>
      <w:r w:rsidR="003930E7">
        <w:rPr>
          <w:rFonts w:cs="Times New Roman"/>
          <w:sz w:val="24"/>
          <w:szCs w:val="24"/>
        </w:rPr>
        <w:t>3.1</w:t>
      </w:r>
      <w:r w:rsidRPr="00325E39">
        <w:rPr>
          <w:rFonts w:cs="Times New Roman"/>
          <w:sz w:val="24"/>
          <w:szCs w:val="24"/>
        </w:rPr>
        <w:t xml:space="preserve"> percent of GDP between 2012/13 and 2013/14.  However, with tax collection almost 10 percent off target during the first quarter, the ambitious annual target may have to be revised downwards.   </w:t>
      </w:r>
    </w:p>
    <w:p w:rsidR="00006AFD" w:rsidRPr="00325E39" w:rsidRDefault="00006AFD" w:rsidP="00006AFD">
      <w:pPr>
        <w:spacing w:after="0" w:line="240" w:lineRule="auto"/>
        <w:ind w:left="720"/>
        <w:contextualSpacing/>
        <w:mirrorIndents/>
        <w:jc w:val="both"/>
        <w:rPr>
          <w:rFonts w:cs="Times New Roman"/>
          <w:sz w:val="24"/>
          <w:szCs w:val="24"/>
        </w:rPr>
      </w:pPr>
    </w:p>
    <w:p w:rsidR="00006AFD" w:rsidRPr="00325E39" w:rsidRDefault="00006AFD" w:rsidP="00006AFD">
      <w:pPr>
        <w:numPr>
          <w:ilvl w:val="0"/>
          <w:numId w:val="47"/>
        </w:numPr>
        <w:spacing w:after="0" w:line="240" w:lineRule="auto"/>
        <w:ind w:left="360"/>
        <w:contextualSpacing/>
        <w:mirrorIndents/>
        <w:jc w:val="both"/>
        <w:rPr>
          <w:rFonts w:cs="Times New Roman"/>
          <w:sz w:val="24"/>
          <w:szCs w:val="24"/>
        </w:rPr>
      </w:pPr>
      <w:r w:rsidRPr="00325E39">
        <w:rPr>
          <w:rFonts w:cs="Times New Roman"/>
          <w:sz w:val="24"/>
          <w:szCs w:val="24"/>
        </w:rPr>
        <w:t xml:space="preserve"> The stock of public debt is projected to reach 48 percent of GDP at the end 2013/14, while the debt</w:t>
      </w:r>
      <w:r w:rsidR="00270369">
        <w:rPr>
          <w:rFonts w:cs="Times New Roman"/>
          <w:sz w:val="24"/>
          <w:szCs w:val="24"/>
        </w:rPr>
        <w:t xml:space="preserve"> service</w:t>
      </w:r>
      <w:r w:rsidR="00C074DD">
        <w:rPr>
          <w:rFonts w:cs="Times New Roman"/>
          <w:sz w:val="24"/>
          <w:szCs w:val="24"/>
        </w:rPr>
        <w:t xml:space="preserve"> (excluding amortization of domestic debt)</w:t>
      </w:r>
      <w:r w:rsidR="00270369">
        <w:rPr>
          <w:rFonts w:cs="Times New Roman"/>
          <w:sz w:val="24"/>
          <w:szCs w:val="24"/>
        </w:rPr>
        <w:t xml:space="preserve"> should be as high as 2</w:t>
      </w:r>
      <w:r w:rsidR="00C074DD">
        <w:rPr>
          <w:rFonts w:cs="Times New Roman"/>
          <w:sz w:val="24"/>
          <w:szCs w:val="24"/>
        </w:rPr>
        <w:t>.5</w:t>
      </w:r>
      <w:r w:rsidRPr="00325E39">
        <w:rPr>
          <w:rFonts w:cs="Times New Roman"/>
          <w:sz w:val="24"/>
          <w:szCs w:val="24"/>
        </w:rPr>
        <w:t xml:space="preserve"> percent of GDP (up from 1.</w:t>
      </w:r>
      <w:r w:rsidR="00C074DD">
        <w:rPr>
          <w:rFonts w:cs="Times New Roman"/>
          <w:sz w:val="24"/>
          <w:szCs w:val="24"/>
        </w:rPr>
        <w:t>8</w:t>
      </w:r>
      <w:r w:rsidRPr="00325E39">
        <w:rPr>
          <w:rFonts w:cs="Times New Roman"/>
          <w:sz w:val="24"/>
          <w:szCs w:val="24"/>
        </w:rPr>
        <w:t xml:space="preserve"> percent in 2012/13)</w:t>
      </w:r>
      <w:r w:rsidR="00E419B0">
        <w:rPr>
          <w:rFonts w:cs="Times New Roman"/>
          <w:sz w:val="24"/>
          <w:szCs w:val="24"/>
        </w:rPr>
        <w:t xml:space="preserve"> driven largely by foreign debt service</w:t>
      </w:r>
      <w:r w:rsidRPr="00325E39">
        <w:rPr>
          <w:rFonts w:cs="Times New Roman"/>
          <w:sz w:val="24"/>
          <w:szCs w:val="24"/>
        </w:rPr>
        <w:t xml:space="preserve">.  These figures point to a relatively rapid decline in Government’s fiscal space.  </w:t>
      </w:r>
    </w:p>
    <w:p w:rsidR="00006AFD" w:rsidRPr="00325E39" w:rsidRDefault="00006AFD" w:rsidP="00006AFD">
      <w:pPr>
        <w:spacing w:after="0" w:line="240" w:lineRule="auto"/>
        <w:ind w:left="720"/>
        <w:contextualSpacing/>
        <w:rPr>
          <w:rFonts w:cs="Times New Roman"/>
          <w:sz w:val="24"/>
          <w:szCs w:val="24"/>
          <w:u w:val="single"/>
        </w:rPr>
      </w:pPr>
    </w:p>
    <w:p w:rsidR="00006AFD" w:rsidRPr="00325E39" w:rsidRDefault="00006AFD" w:rsidP="00006AFD">
      <w:pPr>
        <w:spacing w:after="0" w:line="240" w:lineRule="auto"/>
        <w:mirrorIndents/>
        <w:jc w:val="both"/>
        <w:rPr>
          <w:rFonts w:cs="Times New Roman"/>
          <w:sz w:val="24"/>
          <w:szCs w:val="24"/>
          <w:u w:val="single"/>
        </w:rPr>
      </w:pPr>
      <w:r w:rsidRPr="00325E39">
        <w:rPr>
          <w:rFonts w:cs="Times New Roman"/>
          <w:sz w:val="24"/>
          <w:szCs w:val="24"/>
          <w:u w:val="single"/>
        </w:rPr>
        <w:t>Emerging messages from sectors</w:t>
      </w:r>
    </w:p>
    <w:p w:rsidR="00006AFD" w:rsidRPr="00325E39" w:rsidRDefault="00006AFD" w:rsidP="00006AFD">
      <w:pPr>
        <w:spacing w:after="0" w:line="240" w:lineRule="auto"/>
        <w:mirrorIndents/>
        <w:jc w:val="both"/>
        <w:rPr>
          <w:rFonts w:cs="Times New Roman"/>
          <w:sz w:val="24"/>
          <w:szCs w:val="24"/>
          <w:u w:val="single"/>
        </w:rPr>
      </w:pPr>
    </w:p>
    <w:p w:rsidR="00006AFD" w:rsidRPr="00325E39" w:rsidRDefault="00006AFD" w:rsidP="00006AFD">
      <w:pPr>
        <w:numPr>
          <w:ilvl w:val="0"/>
          <w:numId w:val="47"/>
        </w:numPr>
        <w:spacing w:after="0" w:line="240" w:lineRule="auto"/>
        <w:ind w:left="360"/>
        <w:contextualSpacing/>
        <w:mirrorIndents/>
        <w:jc w:val="both"/>
        <w:rPr>
          <w:rFonts w:cs="Times New Roman"/>
          <w:sz w:val="24"/>
          <w:szCs w:val="24"/>
        </w:rPr>
      </w:pPr>
      <w:r w:rsidRPr="00325E39">
        <w:rPr>
          <w:rFonts w:cs="Times New Roman"/>
          <w:sz w:val="24"/>
          <w:szCs w:val="24"/>
          <w:u w:val="single"/>
        </w:rPr>
        <w:t>Education</w:t>
      </w:r>
      <w:r w:rsidRPr="00325E39">
        <w:rPr>
          <w:rFonts w:cs="Times New Roman"/>
          <w:sz w:val="24"/>
          <w:szCs w:val="24"/>
        </w:rPr>
        <w:t xml:space="preserve">: In 2012/13, the execution rate accelerated from 79 percent to 94 percent, but the disparity in the funds allocation across districts remains high, perpetrating unequal sector performance as well as a sense of inequity among districts. The </w:t>
      </w:r>
      <w:r w:rsidR="00803832">
        <w:rPr>
          <w:rFonts w:cs="Times New Roman"/>
          <w:sz w:val="24"/>
          <w:szCs w:val="24"/>
        </w:rPr>
        <w:t>share of budget allocations to</w:t>
      </w:r>
      <w:r w:rsidRPr="00325E39">
        <w:rPr>
          <w:rFonts w:cs="Times New Roman"/>
          <w:sz w:val="24"/>
          <w:szCs w:val="24"/>
        </w:rPr>
        <w:t xml:space="preserve"> the education sector </w:t>
      </w:r>
      <w:r w:rsidR="00803832">
        <w:rPr>
          <w:rFonts w:cs="Times New Roman"/>
          <w:sz w:val="24"/>
          <w:szCs w:val="24"/>
        </w:rPr>
        <w:t>declines to around 19.6 in 2013/14, equivalent to 5</w:t>
      </w:r>
      <w:proofErr w:type="gramStart"/>
      <w:r w:rsidR="00803832">
        <w:rPr>
          <w:rFonts w:cs="Times New Roman"/>
          <w:sz w:val="24"/>
          <w:szCs w:val="24"/>
        </w:rPr>
        <w:t>,9</w:t>
      </w:r>
      <w:proofErr w:type="gramEnd"/>
      <w:r w:rsidR="00803832">
        <w:rPr>
          <w:rFonts w:cs="Times New Roman"/>
          <w:sz w:val="24"/>
          <w:szCs w:val="24"/>
        </w:rPr>
        <w:t xml:space="preserve"> percent of GDP</w:t>
      </w:r>
      <w:r w:rsidR="000F5AB6" w:rsidRPr="00325E39">
        <w:rPr>
          <w:rFonts w:cs="Times New Roman"/>
          <w:sz w:val="24"/>
          <w:szCs w:val="24"/>
        </w:rPr>
        <w:t xml:space="preserve"> </w:t>
      </w:r>
      <w:r w:rsidR="007D676B">
        <w:rPr>
          <w:rFonts w:cs="Times New Roman"/>
          <w:sz w:val="24"/>
          <w:szCs w:val="24"/>
        </w:rPr>
        <w:t>–</w:t>
      </w:r>
      <w:r w:rsidRPr="00325E39">
        <w:rPr>
          <w:rFonts w:cs="Times New Roman"/>
          <w:sz w:val="24"/>
          <w:szCs w:val="24"/>
        </w:rPr>
        <w:t xml:space="preserve"> </w:t>
      </w:r>
      <w:r w:rsidR="007D676B">
        <w:rPr>
          <w:rFonts w:cs="Times New Roman"/>
          <w:sz w:val="24"/>
          <w:szCs w:val="24"/>
        </w:rPr>
        <w:t xml:space="preserve">still </w:t>
      </w:r>
      <w:r w:rsidRPr="00325E39">
        <w:rPr>
          <w:rFonts w:cs="Times New Roman"/>
          <w:sz w:val="24"/>
          <w:szCs w:val="24"/>
        </w:rPr>
        <w:t xml:space="preserve">a relatively high allocation for a low income country. Transfers to local governments should intensify, from 65 percent to 70 percent of total sector expenditures, driven by an increased wage bill and development spending.  </w:t>
      </w:r>
    </w:p>
    <w:p w:rsidR="00006AFD" w:rsidRPr="00325E39" w:rsidRDefault="00006AFD" w:rsidP="00006AFD">
      <w:pPr>
        <w:spacing w:after="0" w:line="240" w:lineRule="auto"/>
        <w:ind w:left="720"/>
        <w:contextualSpacing/>
        <w:mirrorIndents/>
        <w:jc w:val="both"/>
        <w:rPr>
          <w:rFonts w:cs="Times New Roman"/>
          <w:sz w:val="24"/>
          <w:szCs w:val="24"/>
        </w:rPr>
      </w:pPr>
    </w:p>
    <w:p w:rsidR="00006AFD" w:rsidRPr="00325E39" w:rsidRDefault="00006AFD" w:rsidP="00006AFD">
      <w:pPr>
        <w:numPr>
          <w:ilvl w:val="0"/>
          <w:numId w:val="47"/>
        </w:numPr>
        <w:spacing w:after="0" w:line="240" w:lineRule="auto"/>
        <w:ind w:left="360"/>
        <w:contextualSpacing/>
        <w:mirrorIndents/>
        <w:jc w:val="both"/>
        <w:rPr>
          <w:rFonts w:cs="Times New Roman"/>
          <w:sz w:val="24"/>
          <w:szCs w:val="24"/>
        </w:rPr>
      </w:pPr>
      <w:r w:rsidRPr="00325E39">
        <w:rPr>
          <w:rFonts w:cs="Times New Roman"/>
          <w:sz w:val="24"/>
          <w:szCs w:val="24"/>
          <w:u w:val="single"/>
        </w:rPr>
        <w:t>Health</w:t>
      </w:r>
      <w:r w:rsidRPr="00325E39">
        <w:rPr>
          <w:rFonts w:cs="Times New Roman"/>
          <w:sz w:val="24"/>
          <w:szCs w:val="24"/>
        </w:rPr>
        <w:t>: Unlike 2011/12, the execution of the health budget was strong, reaching almost 90 percent in 2012/13.  The 2013/14 approved budget of 8.7 percent of total expenditures for the health sector represents a significant decline compared to 2012/13</w:t>
      </w:r>
      <w:r w:rsidR="003110E0">
        <w:rPr>
          <w:rFonts w:cs="Times New Roman"/>
          <w:sz w:val="24"/>
          <w:szCs w:val="24"/>
        </w:rPr>
        <w:t xml:space="preserve">. </w:t>
      </w:r>
      <w:r w:rsidR="003110E0" w:rsidRPr="002846D8">
        <w:rPr>
          <w:rFonts w:cs="Times New Roman"/>
          <w:sz w:val="24"/>
          <w:szCs w:val="24"/>
        </w:rPr>
        <w:t xml:space="preserve">The share </w:t>
      </w:r>
      <w:r w:rsidR="003110E0">
        <w:rPr>
          <w:rFonts w:cs="Times New Roman"/>
          <w:sz w:val="24"/>
          <w:szCs w:val="24"/>
        </w:rPr>
        <w:t xml:space="preserve">of </w:t>
      </w:r>
      <w:r w:rsidR="003110E0" w:rsidRPr="002846D8">
        <w:rPr>
          <w:rFonts w:cs="Times New Roman"/>
          <w:sz w:val="24"/>
          <w:szCs w:val="24"/>
        </w:rPr>
        <w:t>local</w:t>
      </w:r>
      <w:r w:rsidR="003110E0">
        <w:rPr>
          <w:rFonts w:cs="Times New Roman"/>
          <w:sz w:val="24"/>
          <w:szCs w:val="24"/>
        </w:rPr>
        <w:t xml:space="preserve"> (including GBS)</w:t>
      </w:r>
      <w:r w:rsidR="003110E0" w:rsidRPr="002846D8">
        <w:rPr>
          <w:rFonts w:cs="Times New Roman"/>
          <w:sz w:val="24"/>
          <w:szCs w:val="24"/>
        </w:rPr>
        <w:t xml:space="preserve"> funding to the sector is also expected to decline </w:t>
      </w:r>
      <w:r w:rsidR="003110E0">
        <w:rPr>
          <w:rFonts w:cs="Times New Roman"/>
          <w:sz w:val="24"/>
          <w:szCs w:val="24"/>
        </w:rPr>
        <w:t>from approximately 8 percent in FY 11/12 to 6 percent in FY 12/13</w:t>
      </w:r>
      <w:r w:rsidR="003110E0" w:rsidRPr="002846D8">
        <w:rPr>
          <w:rFonts w:cs="Times New Roman"/>
          <w:sz w:val="24"/>
          <w:szCs w:val="24"/>
        </w:rPr>
        <w:t>.</w:t>
      </w:r>
      <w:r w:rsidR="003110E0">
        <w:rPr>
          <w:rFonts w:cs="Times New Roman"/>
          <w:sz w:val="24"/>
          <w:szCs w:val="24"/>
        </w:rPr>
        <w:t xml:space="preserve"> Geographic inequality in health block grant distribution amongst LGAs remains substantial.</w:t>
      </w:r>
    </w:p>
    <w:p w:rsidR="00006AFD" w:rsidRPr="00325E39" w:rsidRDefault="00006AFD" w:rsidP="00006AFD">
      <w:pPr>
        <w:spacing w:after="0" w:line="240" w:lineRule="auto"/>
        <w:ind w:left="720"/>
        <w:contextualSpacing/>
        <w:rPr>
          <w:rFonts w:cs="Times New Roman"/>
          <w:sz w:val="24"/>
          <w:szCs w:val="24"/>
        </w:rPr>
      </w:pPr>
    </w:p>
    <w:p w:rsidR="00006AFD" w:rsidRPr="00325E39" w:rsidRDefault="00006AFD" w:rsidP="00006AFD">
      <w:pPr>
        <w:numPr>
          <w:ilvl w:val="0"/>
          <w:numId w:val="47"/>
        </w:numPr>
        <w:spacing w:after="0" w:line="240" w:lineRule="auto"/>
        <w:ind w:left="360"/>
        <w:contextualSpacing/>
        <w:mirrorIndents/>
        <w:jc w:val="both"/>
        <w:rPr>
          <w:rFonts w:cs="Times New Roman"/>
          <w:sz w:val="24"/>
          <w:szCs w:val="24"/>
        </w:rPr>
      </w:pPr>
      <w:r w:rsidRPr="00325E39">
        <w:rPr>
          <w:rFonts w:cs="Times New Roman"/>
          <w:sz w:val="24"/>
          <w:szCs w:val="24"/>
          <w:u w:val="single"/>
        </w:rPr>
        <w:t>Water</w:t>
      </w:r>
      <w:r w:rsidRPr="00325E39">
        <w:rPr>
          <w:rFonts w:cs="Times New Roman"/>
          <w:sz w:val="24"/>
          <w:szCs w:val="24"/>
        </w:rPr>
        <w:t xml:space="preserve">: </w:t>
      </w:r>
      <w:r w:rsidR="00AB1207">
        <w:rPr>
          <w:rFonts w:cs="Times New Roman"/>
          <w:sz w:val="24"/>
          <w:szCs w:val="24"/>
        </w:rPr>
        <w:t>In 2012/1</w:t>
      </w:r>
      <w:r w:rsidR="002D1A1F">
        <w:rPr>
          <w:rFonts w:cs="Times New Roman"/>
          <w:sz w:val="24"/>
          <w:szCs w:val="24"/>
        </w:rPr>
        <w:t>3</w:t>
      </w:r>
      <w:r w:rsidR="00AB1207">
        <w:rPr>
          <w:rFonts w:cs="Times New Roman"/>
          <w:sz w:val="24"/>
          <w:szCs w:val="24"/>
        </w:rPr>
        <w:t xml:space="preserve"> water sector experienced a very low budget execution rate, at 56 percent. </w:t>
      </w:r>
      <w:r w:rsidRPr="00325E39">
        <w:rPr>
          <w:rFonts w:cs="Times New Roman"/>
          <w:sz w:val="24"/>
          <w:szCs w:val="24"/>
        </w:rPr>
        <w:t>Th</w:t>
      </w:r>
      <w:r w:rsidR="00AB1207">
        <w:rPr>
          <w:rFonts w:cs="Times New Roman"/>
          <w:sz w:val="24"/>
          <w:szCs w:val="24"/>
        </w:rPr>
        <w:t xml:space="preserve">e low execution rate together with already a small share in the total budget of round 4.4 percent means that limited fund were spent on water and hence poor quality of service, including access and reliability. </w:t>
      </w:r>
      <w:r w:rsidRPr="00325E39">
        <w:rPr>
          <w:rFonts w:cs="Times New Roman"/>
          <w:sz w:val="24"/>
          <w:szCs w:val="24"/>
        </w:rPr>
        <w:t xml:space="preserve"> The </w:t>
      </w:r>
      <w:r w:rsidR="00C577D2">
        <w:rPr>
          <w:rFonts w:cs="Times New Roman"/>
          <w:sz w:val="24"/>
          <w:szCs w:val="24"/>
        </w:rPr>
        <w:t xml:space="preserve">share of public resources going to the sector in the </w:t>
      </w:r>
      <w:r w:rsidRPr="00325E39">
        <w:rPr>
          <w:rFonts w:cs="Times New Roman"/>
          <w:sz w:val="24"/>
          <w:szCs w:val="24"/>
        </w:rPr>
        <w:t>approved</w:t>
      </w:r>
      <w:r w:rsidR="00C577D2">
        <w:rPr>
          <w:rFonts w:cs="Times New Roman"/>
          <w:sz w:val="24"/>
          <w:szCs w:val="24"/>
        </w:rPr>
        <w:t xml:space="preserve"> total </w:t>
      </w:r>
      <w:r w:rsidR="00C24413">
        <w:rPr>
          <w:rFonts w:cs="Times New Roman"/>
          <w:sz w:val="24"/>
          <w:szCs w:val="24"/>
        </w:rPr>
        <w:t>budget in</w:t>
      </w:r>
      <w:r w:rsidRPr="00325E39">
        <w:rPr>
          <w:rFonts w:cs="Times New Roman"/>
          <w:sz w:val="24"/>
          <w:szCs w:val="24"/>
        </w:rPr>
        <w:t xml:space="preserve"> 2013/14</w:t>
      </w:r>
      <w:r w:rsidR="00C24413">
        <w:rPr>
          <w:rFonts w:cs="Times New Roman"/>
          <w:sz w:val="24"/>
          <w:szCs w:val="24"/>
        </w:rPr>
        <w:t xml:space="preserve"> is project</w:t>
      </w:r>
      <w:r w:rsidR="00C577D2">
        <w:rPr>
          <w:rFonts w:cs="Times New Roman"/>
          <w:sz w:val="24"/>
          <w:szCs w:val="24"/>
        </w:rPr>
        <w:t xml:space="preserve">ed to decline further to 4.3 in 2013/14. </w:t>
      </w:r>
      <w:r w:rsidR="00C577D2">
        <w:rPr>
          <w:rFonts w:cs="Times New Roman"/>
          <w:sz w:val="24"/>
          <w:szCs w:val="24"/>
        </w:rPr>
        <w:lastRenderedPageBreak/>
        <w:t>However, LGAs water projects and programs are prioritized with projected increase in water budgets in LGAs.</w:t>
      </w:r>
      <w:r w:rsidRPr="00325E39">
        <w:rPr>
          <w:rFonts w:cs="Times New Roman"/>
          <w:sz w:val="24"/>
          <w:szCs w:val="24"/>
        </w:rPr>
        <w:t xml:space="preserve">    </w:t>
      </w:r>
    </w:p>
    <w:p w:rsidR="00006AFD" w:rsidRPr="00325E39" w:rsidRDefault="00006AFD" w:rsidP="00006AFD">
      <w:pPr>
        <w:spacing w:after="0" w:line="240" w:lineRule="auto"/>
        <w:ind w:left="720"/>
        <w:contextualSpacing/>
        <w:rPr>
          <w:rFonts w:cs="Times New Roman"/>
          <w:sz w:val="24"/>
          <w:szCs w:val="24"/>
        </w:rPr>
      </w:pPr>
    </w:p>
    <w:p w:rsidR="00006AFD" w:rsidRPr="00325E39" w:rsidRDefault="00006AFD" w:rsidP="00006AFD">
      <w:pPr>
        <w:numPr>
          <w:ilvl w:val="0"/>
          <w:numId w:val="47"/>
        </w:numPr>
        <w:spacing w:after="0" w:line="240" w:lineRule="auto"/>
        <w:ind w:left="360"/>
        <w:contextualSpacing/>
        <w:mirrorIndents/>
        <w:jc w:val="both"/>
        <w:rPr>
          <w:rFonts w:cs="Times New Roman"/>
          <w:sz w:val="24"/>
          <w:szCs w:val="24"/>
        </w:rPr>
      </w:pPr>
      <w:r w:rsidRPr="00325E39">
        <w:rPr>
          <w:rFonts w:cs="Times New Roman"/>
          <w:sz w:val="24"/>
          <w:szCs w:val="24"/>
          <w:u w:val="single"/>
        </w:rPr>
        <w:t>Agriculture</w:t>
      </w:r>
      <w:r w:rsidRPr="00325E39">
        <w:rPr>
          <w:rFonts w:cs="Times New Roman"/>
          <w:sz w:val="24"/>
          <w:szCs w:val="24"/>
        </w:rPr>
        <w:t>: The execution of the budget in the agriculture sector declined from 78.5 percent to 69.6 percent between 2011/12 and 2012/13</w:t>
      </w:r>
      <w:r w:rsidR="005820F5">
        <w:rPr>
          <w:rFonts w:cs="Times New Roman"/>
          <w:sz w:val="24"/>
          <w:szCs w:val="24"/>
        </w:rPr>
        <w:t xml:space="preserve"> </w:t>
      </w:r>
      <w:r w:rsidR="002D1A1F">
        <w:rPr>
          <w:rFonts w:cs="Times New Roman"/>
          <w:sz w:val="24"/>
          <w:szCs w:val="24"/>
        </w:rPr>
        <w:t xml:space="preserve">due to the </w:t>
      </w:r>
      <w:r w:rsidR="005820F5">
        <w:rPr>
          <w:rFonts w:cs="Times New Roman"/>
          <w:sz w:val="24"/>
          <w:szCs w:val="24"/>
        </w:rPr>
        <w:t xml:space="preserve">non-release of all budgeted funds.  </w:t>
      </w:r>
      <w:r w:rsidRPr="00325E39">
        <w:rPr>
          <w:rFonts w:cs="Times New Roman"/>
          <w:sz w:val="24"/>
          <w:szCs w:val="24"/>
        </w:rPr>
        <w:t xml:space="preserve">In 2013/14, this sector’s share of </w:t>
      </w:r>
      <w:r w:rsidR="005820F5">
        <w:rPr>
          <w:rFonts w:cs="Times New Roman"/>
          <w:sz w:val="24"/>
          <w:szCs w:val="24"/>
        </w:rPr>
        <w:t xml:space="preserve">total </w:t>
      </w:r>
      <w:r w:rsidRPr="00325E39">
        <w:rPr>
          <w:rFonts w:cs="Times New Roman"/>
          <w:sz w:val="24"/>
          <w:szCs w:val="24"/>
        </w:rPr>
        <w:t xml:space="preserve">budget </w:t>
      </w:r>
      <w:r w:rsidR="00AB1207">
        <w:rPr>
          <w:rFonts w:cs="Times New Roman"/>
          <w:sz w:val="24"/>
          <w:szCs w:val="24"/>
        </w:rPr>
        <w:t xml:space="preserve">has declined to 3 </w:t>
      </w:r>
      <w:r w:rsidRPr="00325E39">
        <w:rPr>
          <w:rFonts w:cs="Times New Roman"/>
          <w:sz w:val="24"/>
          <w:szCs w:val="24"/>
        </w:rPr>
        <w:t xml:space="preserve">percent from </w:t>
      </w:r>
      <w:r w:rsidR="00AB1207">
        <w:rPr>
          <w:rFonts w:cs="Times New Roman"/>
          <w:sz w:val="24"/>
          <w:szCs w:val="24"/>
        </w:rPr>
        <w:t>4 percent in 2012/13</w:t>
      </w:r>
      <w:r w:rsidRPr="00325E39">
        <w:rPr>
          <w:rFonts w:cs="Times New Roman"/>
          <w:sz w:val="24"/>
          <w:szCs w:val="24"/>
        </w:rPr>
        <w:t>.  A large portion of the sector budget is allocated to input subsidy programs and the National Food Reserve Agency, leaving limited resources for other programs such as land use and planning, animal disease control and seeds breeding.</w:t>
      </w:r>
    </w:p>
    <w:p w:rsidR="00006AFD" w:rsidRPr="00325E39" w:rsidRDefault="00006AFD" w:rsidP="00006AFD">
      <w:pPr>
        <w:spacing w:after="0" w:line="240" w:lineRule="auto"/>
        <w:ind w:left="720"/>
        <w:contextualSpacing/>
        <w:mirrorIndents/>
        <w:jc w:val="both"/>
        <w:rPr>
          <w:rFonts w:cs="Times New Roman"/>
          <w:sz w:val="24"/>
          <w:szCs w:val="24"/>
          <w:u w:val="single"/>
        </w:rPr>
      </w:pPr>
    </w:p>
    <w:p w:rsidR="00006AFD" w:rsidRPr="00325E39" w:rsidRDefault="00006AFD" w:rsidP="00006AFD">
      <w:pPr>
        <w:numPr>
          <w:ilvl w:val="0"/>
          <w:numId w:val="47"/>
        </w:numPr>
        <w:spacing w:after="0" w:line="240" w:lineRule="auto"/>
        <w:ind w:left="360"/>
        <w:contextualSpacing/>
        <w:mirrorIndents/>
        <w:jc w:val="both"/>
        <w:rPr>
          <w:rFonts w:cs="Helv"/>
          <w:color w:val="000000"/>
          <w:sz w:val="24"/>
          <w:szCs w:val="24"/>
        </w:rPr>
      </w:pPr>
      <w:r w:rsidRPr="00325E39">
        <w:rPr>
          <w:rFonts w:cs="Helv"/>
          <w:color w:val="000000"/>
          <w:sz w:val="24"/>
          <w:szCs w:val="24"/>
          <w:u w:val="single"/>
        </w:rPr>
        <w:t>Energy</w:t>
      </w:r>
      <w:r w:rsidRPr="00325E39">
        <w:rPr>
          <w:rFonts w:cs="Helv"/>
          <w:color w:val="000000"/>
          <w:sz w:val="24"/>
          <w:szCs w:val="24"/>
        </w:rPr>
        <w:t xml:space="preserve">:  In 2012/13, </w:t>
      </w:r>
      <w:r w:rsidR="001D7859">
        <w:rPr>
          <w:rFonts w:cs="Helv"/>
          <w:color w:val="000000"/>
          <w:sz w:val="24"/>
          <w:szCs w:val="24"/>
        </w:rPr>
        <w:t xml:space="preserve">when adjusting for transfers to TANESCO, </w:t>
      </w:r>
      <w:r w:rsidRPr="00325E39">
        <w:rPr>
          <w:rFonts w:cs="Helv"/>
          <w:color w:val="000000"/>
          <w:sz w:val="24"/>
          <w:szCs w:val="24"/>
        </w:rPr>
        <w:t xml:space="preserve">recurrent expenditures were </w:t>
      </w:r>
      <w:r w:rsidR="001D7859">
        <w:rPr>
          <w:rFonts w:cs="Helv"/>
          <w:color w:val="000000"/>
          <w:sz w:val="24"/>
          <w:szCs w:val="24"/>
        </w:rPr>
        <w:t>370</w:t>
      </w:r>
      <w:r w:rsidRPr="00325E39">
        <w:rPr>
          <w:rFonts w:cs="Helv"/>
          <w:color w:val="000000"/>
          <w:sz w:val="24"/>
          <w:szCs w:val="24"/>
        </w:rPr>
        <w:t xml:space="preserve"> percent higher than the approved budget while development expenditures were </w:t>
      </w:r>
      <w:r w:rsidR="001D7859">
        <w:rPr>
          <w:rFonts w:cs="Helv"/>
          <w:color w:val="000000"/>
          <w:sz w:val="24"/>
          <w:szCs w:val="24"/>
        </w:rPr>
        <w:t xml:space="preserve">53 </w:t>
      </w:r>
      <w:r w:rsidRPr="00325E39">
        <w:rPr>
          <w:rFonts w:cs="Helv"/>
          <w:color w:val="000000"/>
          <w:sz w:val="24"/>
          <w:szCs w:val="24"/>
        </w:rPr>
        <w:t xml:space="preserve">percent </w:t>
      </w:r>
      <w:r w:rsidR="001D7859">
        <w:rPr>
          <w:rFonts w:cs="Helv"/>
          <w:color w:val="000000"/>
          <w:sz w:val="24"/>
          <w:szCs w:val="24"/>
        </w:rPr>
        <w:t>lower than approved budget</w:t>
      </w:r>
      <w:r w:rsidRPr="00325E39">
        <w:rPr>
          <w:rFonts w:cs="Helv"/>
          <w:color w:val="000000"/>
          <w:sz w:val="24"/>
          <w:szCs w:val="24"/>
        </w:rPr>
        <w:t xml:space="preserve">. In 2013/14, spending in the energy sector is set to increase further driven by both the costly EEP (including clearance of arrears) and the need to scale up investment in the energy sector. </w:t>
      </w:r>
    </w:p>
    <w:p w:rsidR="00006AFD" w:rsidRPr="00325E39" w:rsidRDefault="00006AFD" w:rsidP="00006AFD">
      <w:pPr>
        <w:autoSpaceDE w:val="0"/>
        <w:autoSpaceDN w:val="0"/>
        <w:adjustRightInd w:val="0"/>
        <w:spacing w:after="0" w:line="240" w:lineRule="auto"/>
        <w:ind w:left="720"/>
        <w:contextualSpacing/>
        <w:jc w:val="both"/>
        <w:rPr>
          <w:rFonts w:cs="Helv"/>
          <w:color w:val="000000"/>
          <w:sz w:val="24"/>
          <w:szCs w:val="24"/>
        </w:rPr>
      </w:pPr>
    </w:p>
    <w:p w:rsidR="00006AFD" w:rsidRPr="008862AE" w:rsidRDefault="00006AFD" w:rsidP="008862AE">
      <w:pPr>
        <w:numPr>
          <w:ilvl w:val="0"/>
          <w:numId w:val="47"/>
        </w:numPr>
        <w:spacing w:after="0" w:line="240" w:lineRule="auto"/>
        <w:ind w:left="360"/>
        <w:contextualSpacing/>
        <w:mirrorIndents/>
        <w:jc w:val="both"/>
        <w:rPr>
          <w:rFonts w:cs="Times New Roman"/>
          <w:color w:val="000000"/>
          <w:sz w:val="24"/>
          <w:szCs w:val="24"/>
        </w:rPr>
      </w:pPr>
      <w:r w:rsidRPr="008862AE">
        <w:rPr>
          <w:rFonts w:cs="Helv"/>
          <w:color w:val="000000"/>
          <w:sz w:val="24"/>
          <w:szCs w:val="24"/>
          <w:u w:val="single"/>
        </w:rPr>
        <w:t>Transport</w:t>
      </w:r>
      <w:r w:rsidRPr="008862AE">
        <w:rPr>
          <w:rFonts w:cs="Helv"/>
          <w:color w:val="000000"/>
          <w:sz w:val="24"/>
          <w:szCs w:val="24"/>
        </w:rPr>
        <w:t xml:space="preserve">:  In 2012/13, the transport sector recorded overspending by more than 50 percent (or about Sh350 billion) of the approved budget. Most of this went towards clearing arrears in the roads subsector. Despite these efforts, outstanding payments at the end of June 2013 amounted to Sh376 billion, after a net increase of </w:t>
      </w:r>
      <w:proofErr w:type="gramStart"/>
      <w:r w:rsidR="000D668C" w:rsidRPr="008862AE">
        <w:rPr>
          <w:rFonts w:cs="Helv"/>
          <w:color w:val="000000"/>
          <w:sz w:val="24"/>
          <w:szCs w:val="24"/>
        </w:rPr>
        <w:t>Ts</w:t>
      </w:r>
      <w:r w:rsidRPr="008862AE">
        <w:rPr>
          <w:rFonts w:cs="Helv"/>
          <w:color w:val="000000"/>
          <w:sz w:val="24"/>
          <w:szCs w:val="24"/>
        </w:rPr>
        <w:t>h</w:t>
      </w:r>
      <w:proofErr w:type="gramEnd"/>
      <w:r w:rsidR="000D668C" w:rsidRPr="008862AE">
        <w:rPr>
          <w:rFonts w:cs="Helv"/>
          <w:color w:val="000000"/>
          <w:sz w:val="24"/>
          <w:szCs w:val="24"/>
        </w:rPr>
        <w:t xml:space="preserve"> </w:t>
      </w:r>
      <w:r w:rsidRPr="008862AE">
        <w:rPr>
          <w:rFonts w:cs="Helv"/>
          <w:color w:val="000000"/>
          <w:sz w:val="24"/>
          <w:szCs w:val="24"/>
        </w:rPr>
        <w:t xml:space="preserve">221 billion in arrears in 2012/13.  Furthermore, physical execution of roads projects remained low due to diversion of funds towards the clearance of arrears and the suspension or slow execution of works by numerous contractors whose invoices remained unpaid. In 2013/14, there </w:t>
      </w:r>
      <w:r w:rsidR="000D668C" w:rsidRPr="008862AE">
        <w:rPr>
          <w:rFonts w:cs="Helv"/>
          <w:color w:val="000000"/>
          <w:sz w:val="24"/>
          <w:szCs w:val="24"/>
        </w:rPr>
        <w:t>is</w:t>
      </w:r>
      <w:r w:rsidRPr="008862AE">
        <w:rPr>
          <w:rFonts w:cs="Helv"/>
          <w:color w:val="000000"/>
          <w:sz w:val="24"/>
          <w:szCs w:val="24"/>
        </w:rPr>
        <w:t xml:space="preserve"> a significant increase in allocation for the transport sector, both for road and non-road subsectors. However, this increase may still not impact on the physical execution of projects as a considerable portion of funds will be used to clear arrears in roads subsectors</w:t>
      </w:r>
      <w:r w:rsidR="008862AE" w:rsidRPr="008862AE">
        <w:rPr>
          <w:rFonts w:cs="Helv"/>
          <w:color w:val="000000"/>
          <w:sz w:val="24"/>
          <w:szCs w:val="24"/>
        </w:rPr>
        <w:t>.</w:t>
      </w:r>
    </w:p>
    <w:p w:rsidR="008862AE" w:rsidRPr="008862AE" w:rsidRDefault="008862AE" w:rsidP="008862AE">
      <w:pPr>
        <w:autoSpaceDE w:val="0"/>
        <w:autoSpaceDN w:val="0"/>
        <w:adjustRightInd w:val="0"/>
        <w:spacing w:after="0" w:line="240" w:lineRule="auto"/>
        <w:contextualSpacing/>
        <w:mirrorIndents/>
        <w:jc w:val="both"/>
        <w:rPr>
          <w:rFonts w:cs="Times New Roman"/>
          <w:color w:val="000000"/>
          <w:sz w:val="24"/>
          <w:szCs w:val="24"/>
        </w:rPr>
      </w:pPr>
    </w:p>
    <w:p w:rsidR="00006AFD" w:rsidRPr="00325E39" w:rsidRDefault="00006AFD" w:rsidP="00006AFD">
      <w:pPr>
        <w:numPr>
          <w:ilvl w:val="0"/>
          <w:numId w:val="47"/>
        </w:numPr>
        <w:spacing w:after="0" w:line="240" w:lineRule="auto"/>
        <w:ind w:left="360"/>
        <w:contextualSpacing/>
        <w:mirrorIndents/>
        <w:jc w:val="both"/>
        <w:rPr>
          <w:rFonts w:cs="Times New Roman"/>
          <w:color w:val="000000"/>
          <w:sz w:val="24"/>
          <w:szCs w:val="24"/>
        </w:rPr>
      </w:pPr>
      <w:r w:rsidRPr="00325E39">
        <w:rPr>
          <w:rFonts w:cs="Helv"/>
          <w:color w:val="000000"/>
          <w:sz w:val="24"/>
          <w:szCs w:val="24"/>
          <w:u w:val="single"/>
        </w:rPr>
        <w:t>Gender</w:t>
      </w:r>
      <w:r w:rsidRPr="00325E39">
        <w:rPr>
          <w:rFonts w:cs="Helv"/>
          <w:color w:val="000000"/>
          <w:sz w:val="24"/>
          <w:szCs w:val="24"/>
        </w:rPr>
        <w:t>:  There is limited information to capture gender dimensions in the budget and this makes it difficult to assess and monitor gender aspects in budget allocations and spending. Reversing this situation requires Government commitment and one way to achieve this would be by developing a standardized format for a ’gender budget statement’ which government agencies would use to report on the gender implications of budgets and spending</w:t>
      </w:r>
      <w:r w:rsidRPr="00325E39">
        <w:rPr>
          <w:rFonts w:cs="Times New Roman"/>
          <w:color w:val="000000"/>
          <w:sz w:val="24"/>
          <w:szCs w:val="24"/>
        </w:rPr>
        <w:t>.</w:t>
      </w:r>
    </w:p>
    <w:p w:rsidR="00006AFD" w:rsidRPr="00325E39" w:rsidRDefault="00006AFD" w:rsidP="00006AFD">
      <w:pPr>
        <w:spacing w:after="0" w:line="240" w:lineRule="auto"/>
        <w:ind w:left="360"/>
        <w:mirrorIndents/>
        <w:jc w:val="both"/>
        <w:rPr>
          <w:rFonts w:cs="Times New Roman"/>
          <w:sz w:val="24"/>
          <w:szCs w:val="24"/>
          <w:u w:val="single"/>
        </w:rPr>
      </w:pPr>
    </w:p>
    <w:p w:rsidR="00006AFD" w:rsidRPr="00325E39" w:rsidRDefault="00006AFD" w:rsidP="00006AFD">
      <w:pPr>
        <w:spacing w:after="0" w:line="240" w:lineRule="auto"/>
        <w:mirrorIndents/>
        <w:jc w:val="both"/>
        <w:rPr>
          <w:rFonts w:cs="Times New Roman"/>
          <w:sz w:val="24"/>
          <w:szCs w:val="24"/>
          <w:u w:val="single"/>
        </w:rPr>
      </w:pPr>
      <w:r w:rsidRPr="00325E39">
        <w:rPr>
          <w:rFonts w:cs="Times New Roman"/>
          <w:sz w:val="24"/>
          <w:szCs w:val="24"/>
          <w:u w:val="single"/>
        </w:rPr>
        <w:t>Fiscal risks</w:t>
      </w:r>
    </w:p>
    <w:p w:rsidR="00006AFD" w:rsidRPr="00325E39" w:rsidRDefault="00006AFD" w:rsidP="00006AFD">
      <w:pPr>
        <w:spacing w:after="0" w:line="240" w:lineRule="auto"/>
        <w:mirrorIndents/>
        <w:jc w:val="both"/>
        <w:rPr>
          <w:rFonts w:cs="Times New Roman"/>
          <w:sz w:val="24"/>
          <w:szCs w:val="24"/>
          <w:u w:val="single"/>
        </w:rPr>
      </w:pPr>
    </w:p>
    <w:p w:rsidR="00006AFD" w:rsidRPr="00325E39" w:rsidRDefault="00006AFD" w:rsidP="00006AFD">
      <w:pPr>
        <w:numPr>
          <w:ilvl w:val="0"/>
          <w:numId w:val="47"/>
        </w:numPr>
        <w:spacing w:after="0" w:line="240" w:lineRule="auto"/>
        <w:ind w:left="360"/>
        <w:contextualSpacing/>
        <w:mirrorIndents/>
        <w:jc w:val="both"/>
        <w:rPr>
          <w:rFonts w:eastAsia="Calibri"/>
          <w:sz w:val="24"/>
          <w:szCs w:val="24"/>
        </w:rPr>
      </w:pPr>
      <w:r w:rsidRPr="00325E39">
        <w:rPr>
          <w:rFonts w:eastAsia="Calibri"/>
          <w:sz w:val="24"/>
          <w:szCs w:val="24"/>
        </w:rPr>
        <w:t xml:space="preserve">A key risk is linked to the ambitious target for revenue collection, which in the 2013/2014 budget is set to increase by </w:t>
      </w:r>
      <w:r w:rsidR="007D676B">
        <w:rPr>
          <w:rFonts w:eastAsia="Calibri"/>
          <w:sz w:val="24"/>
          <w:szCs w:val="24"/>
        </w:rPr>
        <w:t>3.1</w:t>
      </w:r>
      <w:r w:rsidRPr="00325E39">
        <w:rPr>
          <w:rFonts w:eastAsia="Calibri"/>
          <w:sz w:val="24"/>
          <w:szCs w:val="24"/>
        </w:rPr>
        <w:t xml:space="preserve"> percent of GDP.  Given the delay in implementing the new taxes on financial and communication services, this target will require a significant effort to achieve, including further reduction of tax exemptions.  Any deviation in revenues will have to be offset by lower spending, unless the Government decides to give up altogether on its objective of reducing the overall fiscal deficit to five percent of GDP. </w:t>
      </w:r>
    </w:p>
    <w:p w:rsidR="00006AFD" w:rsidRPr="00325E39" w:rsidRDefault="00006AFD" w:rsidP="00006AFD">
      <w:pPr>
        <w:spacing w:after="0" w:line="240" w:lineRule="auto"/>
        <w:ind w:left="720"/>
        <w:contextualSpacing/>
        <w:jc w:val="both"/>
        <w:rPr>
          <w:rFonts w:eastAsia="Calibri"/>
          <w:sz w:val="24"/>
          <w:szCs w:val="24"/>
        </w:rPr>
      </w:pPr>
    </w:p>
    <w:p w:rsidR="00006AFD" w:rsidRPr="00325E39" w:rsidRDefault="00006AFD" w:rsidP="00006AFD">
      <w:pPr>
        <w:numPr>
          <w:ilvl w:val="0"/>
          <w:numId w:val="47"/>
        </w:numPr>
        <w:spacing w:after="0" w:line="240" w:lineRule="auto"/>
        <w:ind w:left="360"/>
        <w:contextualSpacing/>
        <w:mirrorIndents/>
        <w:jc w:val="both"/>
        <w:rPr>
          <w:rFonts w:eastAsia="Calibri"/>
          <w:sz w:val="24"/>
          <w:szCs w:val="24"/>
        </w:rPr>
      </w:pPr>
      <w:r w:rsidRPr="00325E39">
        <w:rPr>
          <w:rFonts w:eastAsia="Calibri"/>
          <w:sz w:val="24"/>
          <w:szCs w:val="24"/>
        </w:rPr>
        <w:lastRenderedPageBreak/>
        <w:t xml:space="preserve">Another risk area is the financial deterioration of several </w:t>
      </w:r>
      <w:proofErr w:type="spellStart"/>
      <w:r w:rsidRPr="00325E39">
        <w:rPr>
          <w:rFonts w:eastAsia="Calibri"/>
          <w:sz w:val="24"/>
          <w:szCs w:val="24"/>
        </w:rPr>
        <w:t>parastatals</w:t>
      </w:r>
      <w:proofErr w:type="spellEnd"/>
      <w:r w:rsidRPr="00325E39">
        <w:rPr>
          <w:rFonts w:eastAsia="Calibri"/>
          <w:sz w:val="24"/>
          <w:szCs w:val="24"/>
        </w:rPr>
        <w:t xml:space="preserve"> and public agencies. Of particular concern is the public utility TANESCO which accumulated an operational deficit of USD270 million and arrears of USD276 million at the end of 2012. While TANESCO's financial state improved marginally during 2013, the fact remains that the cost of producing electricity is lower than the revenues derived from its sale. To date, the gap between costs and revenues has been partially met by transfers from the central Government and commercial borrowing by TANESCO. </w:t>
      </w:r>
    </w:p>
    <w:p w:rsidR="00006AFD" w:rsidRPr="00325E39" w:rsidRDefault="00006AFD" w:rsidP="00006AFD">
      <w:pPr>
        <w:spacing w:after="0" w:line="240" w:lineRule="auto"/>
        <w:ind w:left="720"/>
        <w:contextualSpacing/>
        <w:jc w:val="both"/>
        <w:rPr>
          <w:rFonts w:eastAsia="Calibri"/>
          <w:sz w:val="24"/>
          <w:szCs w:val="24"/>
        </w:rPr>
      </w:pPr>
    </w:p>
    <w:p w:rsidR="00006AFD" w:rsidRPr="005025A9" w:rsidRDefault="00006AFD" w:rsidP="005025A9">
      <w:pPr>
        <w:numPr>
          <w:ilvl w:val="0"/>
          <w:numId w:val="47"/>
        </w:numPr>
        <w:spacing w:after="0" w:line="240" w:lineRule="auto"/>
        <w:ind w:left="360"/>
        <w:contextualSpacing/>
        <w:mirrorIndents/>
        <w:jc w:val="both"/>
        <w:rPr>
          <w:rFonts w:eastAsia="Calibri"/>
          <w:sz w:val="24"/>
          <w:szCs w:val="24"/>
        </w:rPr>
      </w:pPr>
      <w:r w:rsidRPr="005025A9">
        <w:rPr>
          <w:rFonts w:eastAsia="Calibri"/>
          <w:sz w:val="24"/>
          <w:szCs w:val="24"/>
        </w:rPr>
        <w:t>On its part, the Central Government too has accumulated significant arrears, notably with</w:t>
      </w:r>
      <w:r w:rsidR="008862AE">
        <w:rPr>
          <w:rFonts w:eastAsia="Calibri"/>
          <w:sz w:val="24"/>
          <w:szCs w:val="24"/>
        </w:rPr>
        <w:t xml:space="preserve">in the road sector and </w:t>
      </w:r>
      <w:r w:rsidRPr="005025A9">
        <w:rPr>
          <w:rFonts w:eastAsia="Calibri"/>
          <w:sz w:val="24"/>
          <w:szCs w:val="24"/>
        </w:rPr>
        <w:t>its commitments under the public pension scheme. At the end of 2012, the estimated total value of the government arrears</w:t>
      </w:r>
      <w:r w:rsidR="008862AE">
        <w:rPr>
          <w:rFonts w:eastAsia="Calibri"/>
          <w:sz w:val="24"/>
          <w:szCs w:val="24"/>
        </w:rPr>
        <w:t xml:space="preserve"> with PSPF</w:t>
      </w:r>
      <w:r w:rsidRPr="005025A9">
        <w:rPr>
          <w:rFonts w:eastAsia="Calibri"/>
          <w:sz w:val="24"/>
          <w:szCs w:val="24"/>
        </w:rPr>
        <w:t xml:space="preserve"> amounted to USD700 million. </w:t>
      </w:r>
    </w:p>
    <w:p w:rsidR="005025A9" w:rsidRDefault="005025A9" w:rsidP="005025A9">
      <w:pPr>
        <w:spacing w:after="0" w:line="240" w:lineRule="auto"/>
        <w:ind w:left="360"/>
        <w:contextualSpacing/>
        <w:mirrorIndents/>
        <w:jc w:val="both"/>
        <w:rPr>
          <w:rFonts w:eastAsia="Calibri"/>
          <w:sz w:val="24"/>
          <w:szCs w:val="24"/>
        </w:rPr>
      </w:pPr>
    </w:p>
    <w:p w:rsidR="00006AFD" w:rsidRPr="00325E39" w:rsidRDefault="00006AFD" w:rsidP="00006AFD">
      <w:pPr>
        <w:numPr>
          <w:ilvl w:val="0"/>
          <w:numId w:val="47"/>
        </w:numPr>
        <w:spacing w:after="0" w:line="240" w:lineRule="auto"/>
        <w:ind w:left="360"/>
        <w:contextualSpacing/>
        <w:mirrorIndents/>
        <w:jc w:val="both"/>
        <w:rPr>
          <w:rFonts w:eastAsia="Calibri"/>
          <w:sz w:val="24"/>
          <w:szCs w:val="24"/>
        </w:rPr>
      </w:pPr>
      <w:r w:rsidRPr="00325E39">
        <w:rPr>
          <w:rFonts w:eastAsia="Calibri"/>
          <w:sz w:val="24"/>
          <w:szCs w:val="24"/>
        </w:rPr>
        <w:t xml:space="preserve">In the coming years, the Government will have </w:t>
      </w:r>
      <w:r w:rsidR="00F719A0">
        <w:rPr>
          <w:rFonts w:eastAsia="Calibri"/>
          <w:sz w:val="24"/>
          <w:szCs w:val="24"/>
        </w:rPr>
        <w:t xml:space="preserve">to manage </w:t>
      </w:r>
      <w:r w:rsidR="00F719A0" w:rsidRPr="005025A9">
        <w:rPr>
          <w:rFonts w:eastAsia="Calibri"/>
          <w:sz w:val="24"/>
          <w:szCs w:val="24"/>
        </w:rPr>
        <w:t>well the p</w:t>
      </w:r>
      <w:r w:rsidRPr="005025A9">
        <w:rPr>
          <w:rFonts w:eastAsia="Calibri"/>
          <w:sz w:val="24"/>
          <w:szCs w:val="24"/>
        </w:rPr>
        <w:t>ublic</w:t>
      </w:r>
      <w:r w:rsidRPr="00325E39">
        <w:rPr>
          <w:rFonts w:eastAsia="Calibri"/>
          <w:sz w:val="24"/>
          <w:szCs w:val="24"/>
        </w:rPr>
        <w:t xml:space="preserve"> spending </w:t>
      </w:r>
      <w:r w:rsidR="00F719A0">
        <w:rPr>
          <w:rFonts w:eastAsia="Calibri"/>
          <w:sz w:val="24"/>
          <w:szCs w:val="24"/>
        </w:rPr>
        <w:t xml:space="preserve">in order to preserve </w:t>
      </w:r>
      <w:r w:rsidRPr="00325E39">
        <w:rPr>
          <w:rFonts w:eastAsia="Calibri"/>
          <w:sz w:val="24"/>
          <w:szCs w:val="24"/>
        </w:rPr>
        <w:t xml:space="preserve">fiscal and debt sustainability. Although at present Tanzania has a relatively low public debt to GDP ratio (at slightly more than 40 percent) the fiscal space is closing rapidly, at least as long as revenues derived from natural gas production are not yet available. </w:t>
      </w:r>
    </w:p>
    <w:p w:rsidR="00BC5FE3" w:rsidRPr="002846D8" w:rsidRDefault="00BC5FE3" w:rsidP="002846D8">
      <w:pPr>
        <w:pStyle w:val="ListParagraph"/>
        <w:spacing w:after="0" w:line="240" w:lineRule="auto"/>
        <w:mirrorIndents/>
        <w:jc w:val="both"/>
        <w:rPr>
          <w:rFonts w:cs="Times New Roman"/>
          <w:sz w:val="24"/>
          <w:szCs w:val="24"/>
          <w:u w:val="single"/>
        </w:rPr>
      </w:pPr>
    </w:p>
    <w:p w:rsidR="00BC5FE3" w:rsidRDefault="00BC5FE3" w:rsidP="00B75AEC">
      <w:pPr>
        <w:spacing w:after="0" w:line="240" w:lineRule="auto"/>
        <w:rPr>
          <w:rFonts w:cs="Times New Roman"/>
          <w:sz w:val="24"/>
          <w:szCs w:val="24"/>
        </w:rPr>
      </w:pPr>
    </w:p>
    <w:p w:rsidR="008C1DC9" w:rsidRDefault="008C1DC9" w:rsidP="002846D8">
      <w:pPr>
        <w:pStyle w:val="ListParagraph"/>
        <w:numPr>
          <w:ilvl w:val="0"/>
          <w:numId w:val="53"/>
        </w:numPr>
        <w:spacing w:after="0" w:line="240" w:lineRule="auto"/>
        <w:rPr>
          <w:rFonts w:cs="Times New Roman"/>
          <w:sz w:val="24"/>
          <w:szCs w:val="24"/>
        </w:rPr>
        <w:sectPr w:rsidR="008C1DC9" w:rsidSect="008C1DC9">
          <w:headerReference w:type="default" r:id="rId10"/>
          <w:footerReference w:type="default" r:id="rId11"/>
          <w:pgSz w:w="12240" w:h="15840" w:code="1"/>
          <w:pgMar w:top="1440" w:right="1440" w:bottom="1440" w:left="1440" w:header="720" w:footer="720" w:gutter="0"/>
          <w:pgNumType w:fmt="lowerRoman" w:start="1"/>
          <w:cols w:space="720"/>
          <w:docGrid w:linePitch="360"/>
        </w:sectPr>
      </w:pPr>
    </w:p>
    <w:p w:rsidR="00636976" w:rsidRPr="008138F9" w:rsidRDefault="00636976" w:rsidP="003D7A2D">
      <w:pPr>
        <w:pStyle w:val="ListParagraph"/>
        <w:numPr>
          <w:ilvl w:val="0"/>
          <w:numId w:val="29"/>
        </w:numPr>
        <w:spacing w:after="0" w:line="240" w:lineRule="auto"/>
        <w:ind w:left="0" w:firstLine="0"/>
        <w:mirrorIndents/>
        <w:jc w:val="both"/>
        <w:rPr>
          <w:rFonts w:cs="Times New Roman"/>
          <w:b/>
          <w:sz w:val="28"/>
          <w:szCs w:val="28"/>
        </w:rPr>
      </w:pPr>
      <w:r w:rsidRPr="008138F9">
        <w:rPr>
          <w:rFonts w:cs="Times New Roman"/>
          <w:b/>
          <w:sz w:val="28"/>
          <w:szCs w:val="28"/>
        </w:rPr>
        <w:t>Introduction</w:t>
      </w:r>
    </w:p>
    <w:p w:rsidR="00636976" w:rsidRPr="008138F9" w:rsidRDefault="00636976" w:rsidP="003D7A2D">
      <w:pPr>
        <w:spacing w:after="0" w:line="240" w:lineRule="auto"/>
        <w:mirrorIndents/>
        <w:jc w:val="both"/>
        <w:rPr>
          <w:rFonts w:cs="Times New Roman"/>
          <w:b/>
          <w:sz w:val="24"/>
          <w:szCs w:val="24"/>
        </w:rPr>
      </w:pPr>
    </w:p>
    <w:p w:rsidR="00636976" w:rsidRPr="00601605" w:rsidRDefault="00697210" w:rsidP="00601605">
      <w:pPr>
        <w:numPr>
          <w:ilvl w:val="0"/>
          <w:numId w:val="30"/>
        </w:numPr>
        <w:tabs>
          <w:tab w:val="num" w:pos="720"/>
        </w:tabs>
        <w:spacing w:after="0" w:line="240" w:lineRule="auto"/>
        <w:ind w:left="0" w:firstLine="0"/>
        <w:contextualSpacing/>
        <w:mirrorIndents/>
        <w:jc w:val="both"/>
        <w:rPr>
          <w:rFonts w:cs="Times New Roman"/>
          <w:sz w:val="24"/>
          <w:szCs w:val="24"/>
        </w:rPr>
      </w:pPr>
      <w:r w:rsidRPr="00601605">
        <w:rPr>
          <w:rFonts w:cs="Times New Roman"/>
          <w:b/>
          <w:sz w:val="24"/>
          <w:szCs w:val="24"/>
        </w:rPr>
        <w:t>This synoptic note presents key findings and messages from the</w:t>
      </w:r>
      <w:r w:rsidR="00395C21" w:rsidRPr="00601605">
        <w:rPr>
          <w:rFonts w:cs="Times New Roman"/>
          <w:b/>
          <w:sz w:val="24"/>
          <w:szCs w:val="24"/>
        </w:rPr>
        <w:t xml:space="preserve"> Rapid Budget Analysis </w:t>
      </w:r>
      <w:r w:rsidRPr="00601605">
        <w:rPr>
          <w:rFonts w:cs="Times New Roman"/>
          <w:b/>
          <w:sz w:val="24"/>
          <w:szCs w:val="24"/>
        </w:rPr>
        <w:t xml:space="preserve">(RBA) </w:t>
      </w:r>
      <w:r w:rsidR="00395C21" w:rsidRPr="00601605">
        <w:rPr>
          <w:rFonts w:cs="Times New Roman"/>
          <w:b/>
          <w:sz w:val="24"/>
          <w:szCs w:val="24"/>
        </w:rPr>
        <w:t>2013</w:t>
      </w:r>
      <w:r w:rsidRPr="00601605">
        <w:rPr>
          <w:rFonts w:cs="Times New Roman"/>
          <w:sz w:val="24"/>
          <w:szCs w:val="24"/>
        </w:rPr>
        <w:t xml:space="preserve">. </w:t>
      </w:r>
      <w:r w:rsidR="00D82AF6">
        <w:rPr>
          <w:rFonts w:cs="Times New Roman"/>
          <w:sz w:val="24"/>
          <w:szCs w:val="24"/>
        </w:rPr>
        <w:t>On top of a general assessment of the budget, t</w:t>
      </w:r>
      <w:r w:rsidRPr="00601605">
        <w:rPr>
          <w:rFonts w:cs="Times New Roman"/>
          <w:sz w:val="24"/>
          <w:szCs w:val="24"/>
        </w:rPr>
        <w:t>he RBA 2013</w:t>
      </w:r>
      <w:r w:rsidR="00395C21" w:rsidRPr="00601605">
        <w:rPr>
          <w:rFonts w:cs="Times New Roman"/>
          <w:sz w:val="24"/>
          <w:szCs w:val="24"/>
        </w:rPr>
        <w:t xml:space="preserve"> covered six sectors namely education, health, water, agriculture, transport, energy and </w:t>
      </w:r>
      <w:r w:rsidR="00D82AF6">
        <w:rPr>
          <w:rFonts w:cs="Times New Roman"/>
          <w:sz w:val="24"/>
          <w:szCs w:val="24"/>
        </w:rPr>
        <w:t>three</w:t>
      </w:r>
      <w:r w:rsidR="00395C21" w:rsidRPr="00601605">
        <w:rPr>
          <w:rFonts w:cs="Times New Roman"/>
          <w:sz w:val="24"/>
          <w:szCs w:val="24"/>
        </w:rPr>
        <w:t xml:space="preserve"> thematic areas which are aggregate</w:t>
      </w:r>
      <w:r w:rsidRPr="00601605">
        <w:rPr>
          <w:rFonts w:cs="Times New Roman"/>
          <w:sz w:val="24"/>
          <w:szCs w:val="24"/>
        </w:rPr>
        <w:t>, wage bill and local government. The analysis uses the preliminary actual expenditures for 2012/13 and the approved budget data for 2013/14. The actual expenditure data for 2012/13</w:t>
      </w:r>
      <w:r w:rsidR="00912A91" w:rsidRPr="00601605">
        <w:rPr>
          <w:rFonts w:cs="Times New Roman"/>
          <w:sz w:val="24"/>
          <w:szCs w:val="24"/>
        </w:rPr>
        <w:t xml:space="preserve"> is</w:t>
      </w:r>
      <w:r w:rsidRPr="00601605">
        <w:rPr>
          <w:rFonts w:cs="Times New Roman"/>
          <w:sz w:val="24"/>
          <w:szCs w:val="24"/>
        </w:rPr>
        <w:t xml:space="preserve"> generated from the IFMS by the Ministry of Finance after September 30, 2013</w:t>
      </w:r>
      <w:r w:rsidR="00D82AF6">
        <w:rPr>
          <w:rFonts w:cs="Times New Roman"/>
          <w:sz w:val="24"/>
          <w:szCs w:val="24"/>
        </w:rPr>
        <w:t>,</w:t>
      </w:r>
      <w:r w:rsidRPr="00601605">
        <w:rPr>
          <w:rFonts w:cs="Times New Roman"/>
          <w:sz w:val="24"/>
          <w:szCs w:val="24"/>
        </w:rPr>
        <w:t xml:space="preserve"> which is the cut-off date for closing the final financial accounts</w:t>
      </w:r>
      <w:r w:rsidR="00912A91" w:rsidRPr="00601605">
        <w:rPr>
          <w:rFonts w:cs="Times New Roman"/>
          <w:sz w:val="24"/>
          <w:szCs w:val="24"/>
        </w:rPr>
        <w:t>. The</w:t>
      </w:r>
      <w:r w:rsidR="00D622AA" w:rsidRPr="00601605">
        <w:rPr>
          <w:rFonts w:cs="Times New Roman"/>
          <w:sz w:val="24"/>
          <w:szCs w:val="24"/>
        </w:rPr>
        <w:t xml:space="preserve"> </w:t>
      </w:r>
      <w:r w:rsidRPr="00601605">
        <w:rPr>
          <w:rFonts w:cs="Times New Roman"/>
          <w:sz w:val="24"/>
          <w:szCs w:val="24"/>
        </w:rPr>
        <w:t xml:space="preserve">approved budget data was generated end August 2013 by the MoF after </w:t>
      </w:r>
      <w:r w:rsidR="00D82AF6">
        <w:rPr>
          <w:rFonts w:cs="Times New Roman"/>
          <w:sz w:val="24"/>
          <w:szCs w:val="24"/>
        </w:rPr>
        <w:t xml:space="preserve">incorporating </w:t>
      </w:r>
      <w:r w:rsidRPr="00601605">
        <w:rPr>
          <w:rFonts w:cs="Times New Roman"/>
          <w:sz w:val="24"/>
          <w:szCs w:val="24"/>
        </w:rPr>
        <w:t>all changes pro</w:t>
      </w:r>
      <w:r w:rsidR="00912A91" w:rsidRPr="00601605">
        <w:rPr>
          <w:rFonts w:cs="Times New Roman"/>
          <w:sz w:val="24"/>
          <w:szCs w:val="24"/>
        </w:rPr>
        <w:t>po</w:t>
      </w:r>
      <w:r w:rsidRPr="00601605">
        <w:rPr>
          <w:rFonts w:cs="Times New Roman"/>
          <w:sz w:val="24"/>
          <w:szCs w:val="24"/>
        </w:rPr>
        <w:t xml:space="preserve">sed by the </w:t>
      </w:r>
      <w:r w:rsidR="0079384D" w:rsidRPr="00601605">
        <w:rPr>
          <w:rFonts w:cs="Times New Roman"/>
          <w:sz w:val="24"/>
          <w:szCs w:val="24"/>
        </w:rPr>
        <w:t>Parliament</w:t>
      </w:r>
      <w:r w:rsidR="00D82AF6">
        <w:rPr>
          <w:rFonts w:cs="Times New Roman"/>
          <w:sz w:val="24"/>
          <w:szCs w:val="24"/>
        </w:rPr>
        <w:t>.</w:t>
      </w:r>
      <w:r w:rsidR="0079384D" w:rsidRPr="00601605">
        <w:rPr>
          <w:rFonts w:cs="Times New Roman"/>
          <w:sz w:val="24"/>
          <w:szCs w:val="24"/>
        </w:rPr>
        <w:t xml:space="preserve"> </w:t>
      </w:r>
    </w:p>
    <w:p w:rsidR="00636976" w:rsidRPr="00601605" w:rsidRDefault="00636976" w:rsidP="00601605">
      <w:pPr>
        <w:spacing w:after="0" w:line="240" w:lineRule="auto"/>
        <w:outlineLvl w:val="1"/>
        <w:rPr>
          <w:rFonts w:cs="Times New Roman"/>
          <w:b/>
          <w:sz w:val="24"/>
          <w:szCs w:val="24"/>
        </w:rPr>
      </w:pPr>
      <w:bookmarkStart w:id="0" w:name="_Toc213192880"/>
    </w:p>
    <w:bookmarkEnd w:id="0"/>
    <w:p w:rsidR="00636976" w:rsidRPr="00601605" w:rsidRDefault="00320FA6" w:rsidP="00601605">
      <w:pPr>
        <w:numPr>
          <w:ilvl w:val="0"/>
          <w:numId w:val="30"/>
        </w:numPr>
        <w:tabs>
          <w:tab w:val="num" w:pos="720"/>
        </w:tabs>
        <w:spacing w:after="0" w:line="240" w:lineRule="auto"/>
        <w:ind w:left="0" w:firstLine="0"/>
        <w:contextualSpacing/>
        <w:mirrorIndents/>
        <w:jc w:val="both"/>
        <w:rPr>
          <w:rFonts w:cs="Times New Roman"/>
          <w:sz w:val="24"/>
          <w:szCs w:val="24"/>
        </w:rPr>
      </w:pPr>
      <w:r w:rsidRPr="00601605">
        <w:rPr>
          <w:rFonts w:eastAsia="Times New Roman" w:cs="Times New Roman"/>
          <w:b/>
          <w:sz w:val="24"/>
          <w:szCs w:val="24"/>
        </w:rPr>
        <w:t xml:space="preserve">The main focus of the note is to assess the consistency of the budget and actual public spending with government key </w:t>
      </w:r>
      <w:r w:rsidR="002550E9" w:rsidRPr="00601605">
        <w:rPr>
          <w:rFonts w:eastAsia="Times New Roman" w:cs="Times New Roman"/>
          <w:b/>
          <w:sz w:val="24"/>
          <w:szCs w:val="24"/>
        </w:rPr>
        <w:t xml:space="preserve">policy </w:t>
      </w:r>
      <w:r w:rsidRPr="00601605">
        <w:rPr>
          <w:rFonts w:eastAsia="Times New Roman" w:cs="Times New Roman"/>
          <w:b/>
          <w:sz w:val="24"/>
          <w:szCs w:val="24"/>
        </w:rPr>
        <w:t>priority objectives</w:t>
      </w:r>
      <w:r w:rsidRPr="00601605">
        <w:rPr>
          <w:rFonts w:eastAsia="Times New Roman" w:cs="Times New Roman"/>
          <w:sz w:val="24"/>
          <w:szCs w:val="24"/>
        </w:rPr>
        <w:t xml:space="preserve">. </w:t>
      </w:r>
      <w:r w:rsidR="00636976" w:rsidRPr="00601605">
        <w:rPr>
          <w:rFonts w:eastAsia="Times New Roman" w:cs="Times New Roman"/>
          <w:sz w:val="24"/>
          <w:szCs w:val="24"/>
        </w:rPr>
        <w:t>The</w:t>
      </w:r>
      <w:r w:rsidR="00636976" w:rsidRPr="00601605">
        <w:rPr>
          <w:rFonts w:cs="Times New Roman"/>
          <w:sz w:val="24"/>
          <w:szCs w:val="24"/>
        </w:rPr>
        <w:t xml:space="preserve"> </w:t>
      </w:r>
      <w:r w:rsidR="00AC4BF6" w:rsidRPr="00601605">
        <w:rPr>
          <w:rFonts w:cs="Times New Roman"/>
          <w:sz w:val="24"/>
          <w:szCs w:val="24"/>
        </w:rPr>
        <w:t xml:space="preserve">Government priority objectives have been outlined in several key documents, such as </w:t>
      </w:r>
      <w:r w:rsidR="00636976" w:rsidRPr="00601605">
        <w:rPr>
          <w:rFonts w:cs="Times New Roman"/>
          <w:sz w:val="24"/>
          <w:szCs w:val="24"/>
        </w:rPr>
        <w:t>the MKUKUTA</w:t>
      </w:r>
      <w:r w:rsidR="00AC4BF6" w:rsidRPr="00601605">
        <w:rPr>
          <w:rFonts w:cs="Times New Roman"/>
          <w:sz w:val="24"/>
          <w:szCs w:val="24"/>
        </w:rPr>
        <w:t xml:space="preserve"> which is</w:t>
      </w:r>
      <w:r w:rsidR="00636976" w:rsidRPr="00601605">
        <w:rPr>
          <w:rFonts w:cs="Times New Roman"/>
          <w:sz w:val="24"/>
          <w:szCs w:val="24"/>
        </w:rPr>
        <w:t xml:space="preserve"> the National Growth and Poverty Reduction Strategy of Tanzania, Five Year Development Plan (FYDP)</w:t>
      </w:r>
      <w:r w:rsidR="005422E6" w:rsidRPr="00601605">
        <w:rPr>
          <w:rFonts w:cs="Times New Roman"/>
          <w:sz w:val="24"/>
          <w:szCs w:val="24"/>
        </w:rPr>
        <w:t>, Big Results Now Initiative,</w:t>
      </w:r>
      <w:r w:rsidR="00636976" w:rsidRPr="00601605">
        <w:rPr>
          <w:rFonts w:cs="Times New Roman"/>
          <w:sz w:val="24"/>
          <w:szCs w:val="24"/>
        </w:rPr>
        <w:t xml:space="preserve"> and </w:t>
      </w:r>
      <w:r w:rsidR="005422E6" w:rsidRPr="00601605">
        <w:rPr>
          <w:rFonts w:cs="Times New Roman"/>
          <w:sz w:val="24"/>
          <w:szCs w:val="24"/>
        </w:rPr>
        <w:t xml:space="preserve">specific </w:t>
      </w:r>
      <w:r w:rsidR="00636976" w:rsidRPr="00601605">
        <w:rPr>
          <w:rFonts w:cs="Times New Roman"/>
          <w:sz w:val="24"/>
          <w:szCs w:val="24"/>
        </w:rPr>
        <w:t xml:space="preserve">sectors </w:t>
      </w:r>
      <w:r w:rsidR="005422E6" w:rsidRPr="00601605">
        <w:rPr>
          <w:rFonts w:cs="Times New Roman"/>
          <w:sz w:val="24"/>
          <w:szCs w:val="24"/>
        </w:rPr>
        <w:t xml:space="preserve">policy documents, such as Strategic Plans. Alignment of approved </w:t>
      </w:r>
      <w:r w:rsidR="0041445A" w:rsidRPr="00601605">
        <w:rPr>
          <w:rFonts w:cs="Times New Roman"/>
          <w:sz w:val="24"/>
          <w:szCs w:val="24"/>
        </w:rPr>
        <w:t xml:space="preserve">budgets </w:t>
      </w:r>
      <w:r w:rsidR="005422E6" w:rsidRPr="00601605">
        <w:rPr>
          <w:rFonts w:cs="Times New Roman"/>
          <w:sz w:val="24"/>
          <w:szCs w:val="24"/>
        </w:rPr>
        <w:t xml:space="preserve">and actual spending with policies </w:t>
      </w:r>
      <w:r w:rsidR="0041445A" w:rsidRPr="00601605">
        <w:rPr>
          <w:rFonts w:cs="Times New Roman"/>
          <w:sz w:val="24"/>
          <w:szCs w:val="24"/>
        </w:rPr>
        <w:t>is critical</w:t>
      </w:r>
      <w:r w:rsidR="009C6676" w:rsidRPr="00601605">
        <w:rPr>
          <w:rFonts w:cs="Times New Roman"/>
          <w:sz w:val="24"/>
          <w:szCs w:val="24"/>
        </w:rPr>
        <w:t>ly</w:t>
      </w:r>
      <w:r w:rsidR="0041445A" w:rsidRPr="00601605">
        <w:rPr>
          <w:rFonts w:cs="Times New Roman"/>
          <w:sz w:val="24"/>
          <w:szCs w:val="24"/>
        </w:rPr>
        <w:t xml:space="preserve"> important for its effective implementation in order to achieve</w:t>
      </w:r>
      <w:r w:rsidR="005422E6" w:rsidRPr="00601605">
        <w:rPr>
          <w:rFonts w:cs="Times New Roman"/>
          <w:sz w:val="24"/>
          <w:szCs w:val="24"/>
        </w:rPr>
        <w:t xml:space="preserve"> </w:t>
      </w:r>
      <w:r w:rsidR="0041445A" w:rsidRPr="00601605">
        <w:rPr>
          <w:rFonts w:cs="Times New Roman"/>
          <w:sz w:val="24"/>
          <w:szCs w:val="24"/>
        </w:rPr>
        <w:t>intended results.</w:t>
      </w:r>
      <w:r w:rsidR="005422E6" w:rsidRPr="00601605">
        <w:rPr>
          <w:rFonts w:cs="Times New Roman"/>
          <w:sz w:val="24"/>
          <w:szCs w:val="24"/>
        </w:rPr>
        <w:t xml:space="preserve"> </w:t>
      </w:r>
      <w:r w:rsidR="00636976" w:rsidRPr="00601605">
        <w:rPr>
          <w:rFonts w:cs="Times New Roman"/>
          <w:sz w:val="24"/>
          <w:szCs w:val="24"/>
        </w:rPr>
        <w:t xml:space="preserve"> </w:t>
      </w:r>
      <w:r w:rsidR="0041445A" w:rsidRPr="00601605">
        <w:rPr>
          <w:rFonts w:cs="Times New Roman"/>
          <w:sz w:val="24"/>
          <w:szCs w:val="24"/>
        </w:rPr>
        <w:t>Therefore, the main question which this RBA is trying to answer is: “</w:t>
      </w:r>
      <w:r w:rsidR="004C0331" w:rsidRPr="00601605">
        <w:rPr>
          <w:rFonts w:cs="Times New Roman"/>
          <w:sz w:val="24"/>
          <w:szCs w:val="24"/>
        </w:rPr>
        <w:t>to</w:t>
      </w:r>
      <w:r w:rsidR="0041445A" w:rsidRPr="00601605">
        <w:rPr>
          <w:rFonts w:cs="Times New Roman"/>
          <w:sz w:val="24"/>
          <w:szCs w:val="24"/>
        </w:rPr>
        <w:t xml:space="preserve"> what extent is the national budget an effective financial instrument to implement the policies and achieve the objectives outlined in </w:t>
      </w:r>
      <w:r w:rsidR="009C6676" w:rsidRPr="00601605">
        <w:rPr>
          <w:rFonts w:cs="Times New Roman"/>
          <w:sz w:val="24"/>
          <w:szCs w:val="24"/>
        </w:rPr>
        <w:t>the Government’s plans</w:t>
      </w:r>
      <w:r w:rsidR="00912A91" w:rsidRPr="00601605">
        <w:rPr>
          <w:rFonts w:cs="Times New Roman"/>
          <w:sz w:val="24"/>
          <w:szCs w:val="24"/>
        </w:rPr>
        <w:t>?</w:t>
      </w:r>
      <w:r w:rsidR="00F719A0">
        <w:rPr>
          <w:rFonts w:cs="Times New Roman"/>
          <w:sz w:val="24"/>
          <w:szCs w:val="24"/>
        </w:rPr>
        <w:t>”</w:t>
      </w:r>
    </w:p>
    <w:p w:rsidR="00636976" w:rsidRPr="00601605" w:rsidRDefault="00636976" w:rsidP="00601605">
      <w:pPr>
        <w:tabs>
          <w:tab w:val="num" w:pos="720"/>
        </w:tabs>
        <w:spacing w:after="0" w:line="240" w:lineRule="auto"/>
        <w:contextualSpacing/>
        <w:mirrorIndents/>
        <w:jc w:val="both"/>
        <w:rPr>
          <w:rFonts w:cs="Times New Roman"/>
          <w:sz w:val="24"/>
          <w:szCs w:val="24"/>
        </w:rPr>
      </w:pPr>
    </w:p>
    <w:p w:rsidR="00636976" w:rsidRPr="00601605" w:rsidRDefault="007F5AFB" w:rsidP="00601605">
      <w:pPr>
        <w:numPr>
          <w:ilvl w:val="0"/>
          <w:numId w:val="30"/>
        </w:numPr>
        <w:tabs>
          <w:tab w:val="num" w:pos="720"/>
        </w:tabs>
        <w:spacing w:after="0" w:line="240" w:lineRule="auto"/>
        <w:ind w:left="0" w:firstLine="0"/>
        <w:contextualSpacing/>
        <w:mirrorIndents/>
        <w:jc w:val="both"/>
        <w:rPr>
          <w:rFonts w:cs="Times New Roman"/>
          <w:b/>
          <w:sz w:val="24"/>
          <w:szCs w:val="24"/>
        </w:rPr>
      </w:pPr>
      <w:r w:rsidRPr="00601605">
        <w:rPr>
          <w:rFonts w:cs="Times New Roman"/>
          <w:b/>
          <w:sz w:val="24"/>
          <w:szCs w:val="24"/>
        </w:rPr>
        <w:t xml:space="preserve">The </w:t>
      </w:r>
      <w:r w:rsidR="000D0A77" w:rsidRPr="00601605">
        <w:rPr>
          <w:rFonts w:cs="Times New Roman"/>
          <w:b/>
          <w:sz w:val="24"/>
          <w:szCs w:val="24"/>
        </w:rPr>
        <w:t>remain</w:t>
      </w:r>
      <w:r w:rsidR="008664A3" w:rsidRPr="00601605">
        <w:rPr>
          <w:rFonts w:cs="Times New Roman"/>
          <w:b/>
          <w:sz w:val="24"/>
          <w:szCs w:val="24"/>
        </w:rPr>
        <w:t>ing</w:t>
      </w:r>
      <w:r w:rsidR="000D0A77" w:rsidRPr="00601605">
        <w:rPr>
          <w:rFonts w:cs="Times New Roman"/>
          <w:b/>
          <w:sz w:val="24"/>
          <w:szCs w:val="24"/>
        </w:rPr>
        <w:t xml:space="preserve"> </w:t>
      </w:r>
      <w:r w:rsidRPr="00601605">
        <w:rPr>
          <w:rFonts w:cs="Times New Roman"/>
          <w:b/>
          <w:sz w:val="24"/>
          <w:szCs w:val="24"/>
        </w:rPr>
        <w:t>part of the</w:t>
      </w:r>
      <w:r w:rsidR="00F31107" w:rsidRPr="00601605">
        <w:rPr>
          <w:rFonts w:cs="Times New Roman"/>
          <w:b/>
          <w:sz w:val="24"/>
          <w:szCs w:val="24"/>
        </w:rPr>
        <w:t xml:space="preserve"> note is organized into </w:t>
      </w:r>
      <w:r w:rsidR="005B6345" w:rsidRPr="00601605">
        <w:rPr>
          <w:rFonts w:cs="Times New Roman"/>
          <w:b/>
          <w:sz w:val="24"/>
          <w:szCs w:val="24"/>
        </w:rPr>
        <w:t>four</w:t>
      </w:r>
      <w:r w:rsidR="00F31107" w:rsidRPr="00601605">
        <w:rPr>
          <w:rFonts w:cs="Times New Roman"/>
          <w:b/>
          <w:sz w:val="24"/>
          <w:szCs w:val="24"/>
        </w:rPr>
        <w:t xml:space="preserve"> </w:t>
      </w:r>
      <w:r w:rsidR="000D0A77" w:rsidRPr="00601605">
        <w:rPr>
          <w:rFonts w:cs="Times New Roman"/>
          <w:b/>
          <w:sz w:val="24"/>
          <w:szCs w:val="24"/>
        </w:rPr>
        <w:t>sections</w:t>
      </w:r>
      <w:r w:rsidR="00D82AF6">
        <w:rPr>
          <w:rFonts w:cs="Times New Roman"/>
          <w:b/>
          <w:sz w:val="24"/>
          <w:szCs w:val="24"/>
        </w:rPr>
        <w:t>.</w:t>
      </w:r>
      <w:r w:rsidR="00F31107" w:rsidRPr="00601605">
        <w:rPr>
          <w:rFonts w:cs="Times New Roman"/>
          <w:sz w:val="24"/>
          <w:szCs w:val="24"/>
        </w:rPr>
        <w:t xml:space="preserve"> </w:t>
      </w:r>
      <w:r w:rsidR="00D82AF6">
        <w:rPr>
          <w:rFonts w:cs="Times New Roman"/>
          <w:sz w:val="24"/>
          <w:szCs w:val="24"/>
        </w:rPr>
        <w:t xml:space="preserve">The first section </w:t>
      </w:r>
      <w:r w:rsidR="004C0331">
        <w:rPr>
          <w:rFonts w:cs="Times New Roman"/>
          <w:sz w:val="24"/>
          <w:szCs w:val="24"/>
        </w:rPr>
        <w:t xml:space="preserve">assesses </w:t>
      </w:r>
      <w:r w:rsidR="004C0331" w:rsidRPr="00601605">
        <w:rPr>
          <w:rFonts w:cs="Times New Roman"/>
          <w:sz w:val="24"/>
          <w:szCs w:val="24"/>
        </w:rPr>
        <w:t>the</w:t>
      </w:r>
      <w:r w:rsidR="00D82AF6">
        <w:rPr>
          <w:rFonts w:cs="Times New Roman"/>
          <w:sz w:val="24"/>
          <w:szCs w:val="24"/>
        </w:rPr>
        <w:t xml:space="preserve"> </w:t>
      </w:r>
      <w:r w:rsidR="008664A3" w:rsidRPr="00601605">
        <w:rPr>
          <w:rFonts w:cs="Times New Roman"/>
          <w:sz w:val="24"/>
          <w:szCs w:val="24"/>
        </w:rPr>
        <w:t xml:space="preserve">recent macroeconomic performance and outlook </w:t>
      </w:r>
      <w:r w:rsidR="00D82AF6">
        <w:rPr>
          <w:rFonts w:cs="Times New Roman"/>
          <w:sz w:val="24"/>
          <w:szCs w:val="24"/>
        </w:rPr>
        <w:t xml:space="preserve">since this </w:t>
      </w:r>
      <w:r w:rsidR="004C0331">
        <w:rPr>
          <w:rFonts w:cs="Times New Roman"/>
          <w:sz w:val="24"/>
          <w:szCs w:val="24"/>
        </w:rPr>
        <w:t xml:space="preserve">is </w:t>
      </w:r>
      <w:r w:rsidR="004C0331" w:rsidRPr="00601605">
        <w:rPr>
          <w:rFonts w:cs="Times New Roman"/>
          <w:sz w:val="24"/>
          <w:szCs w:val="24"/>
        </w:rPr>
        <w:t>a</w:t>
      </w:r>
      <w:r w:rsidR="00D82AF6">
        <w:rPr>
          <w:rFonts w:cs="Times New Roman"/>
          <w:sz w:val="24"/>
          <w:szCs w:val="24"/>
        </w:rPr>
        <w:t xml:space="preserve"> </w:t>
      </w:r>
      <w:r w:rsidR="008664A3" w:rsidRPr="00601605">
        <w:rPr>
          <w:rFonts w:cs="Times New Roman"/>
          <w:sz w:val="24"/>
          <w:szCs w:val="24"/>
        </w:rPr>
        <w:t xml:space="preserve">critical pre-condition for achieving </w:t>
      </w:r>
      <w:r w:rsidR="00912A91" w:rsidRPr="00601605">
        <w:rPr>
          <w:rFonts w:cs="Times New Roman"/>
          <w:sz w:val="24"/>
          <w:szCs w:val="24"/>
        </w:rPr>
        <w:t xml:space="preserve">the </w:t>
      </w:r>
      <w:r w:rsidR="008664A3" w:rsidRPr="00601605">
        <w:rPr>
          <w:rFonts w:cs="Times New Roman"/>
          <w:sz w:val="24"/>
          <w:szCs w:val="24"/>
        </w:rPr>
        <w:t>strategic objectives</w:t>
      </w:r>
      <w:r w:rsidR="00912A91" w:rsidRPr="00601605">
        <w:rPr>
          <w:rFonts w:cs="Times New Roman"/>
          <w:sz w:val="24"/>
          <w:szCs w:val="24"/>
        </w:rPr>
        <w:t xml:space="preserve"> of</w:t>
      </w:r>
      <w:r w:rsidR="008664A3" w:rsidRPr="00601605">
        <w:rPr>
          <w:rFonts w:cs="Times New Roman"/>
          <w:sz w:val="24"/>
          <w:szCs w:val="24"/>
        </w:rPr>
        <w:t xml:space="preserve"> economic growth and poverty reduction as outlined in the MKUKUTA and FYDP.  </w:t>
      </w:r>
      <w:r w:rsidR="00636976" w:rsidRPr="00601605">
        <w:rPr>
          <w:rFonts w:cs="Times New Roman"/>
          <w:sz w:val="24"/>
          <w:szCs w:val="24"/>
        </w:rPr>
        <w:t>In this respect, the note discusses the impact of the budget on key macroeconomic variables such as the inflation rate, the GDP growth rate, and the internal and external balance</w:t>
      </w:r>
      <w:r w:rsidR="002D1A1F">
        <w:rPr>
          <w:rFonts w:cs="Times New Roman"/>
          <w:sz w:val="24"/>
          <w:szCs w:val="24"/>
        </w:rPr>
        <w:t>s</w:t>
      </w:r>
      <w:r w:rsidR="00636976" w:rsidRPr="00601605">
        <w:rPr>
          <w:rFonts w:cs="Times New Roman"/>
          <w:sz w:val="24"/>
          <w:szCs w:val="24"/>
        </w:rPr>
        <w:t xml:space="preserve">. </w:t>
      </w:r>
      <w:r w:rsidR="00912A91" w:rsidRPr="00601605">
        <w:rPr>
          <w:rFonts w:cs="Times New Roman"/>
          <w:sz w:val="24"/>
          <w:szCs w:val="24"/>
        </w:rPr>
        <w:t>The second</w:t>
      </w:r>
      <w:r w:rsidR="008664A3" w:rsidRPr="00601605">
        <w:rPr>
          <w:rFonts w:cs="Times New Roman"/>
          <w:sz w:val="24"/>
          <w:szCs w:val="24"/>
        </w:rPr>
        <w:t xml:space="preserve"> section reviews strategic allocations and public spending among priority objectives as stated in MKUKUTA, FYDP and BRN. </w:t>
      </w:r>
      <w:r w:rsidR="00912A91" w:rsidRPr="00601605">
        <w:rPr>
          <w:rFonts w:cs="Times New Roman"/>
          <w:sz w:val="24"/>
          <w:szCs w:val="24"/>
        </w:rPr>
        <w:t xml:space="preserve">The appropriate </w:t>
      </w:r>
      <w:r w:rsidR="005B6345" w:rsidRPr="00601605">
        <w:rPr>
          <w:rFonts w:cs="Times New Roman"/>
          <w:sz w:val="24"/>
          <w:szCs w:val="24"/>
        </w:rPr>
        <w:t xml:space="preserve">composition of </w:t>
      </w:r>
      <w:r w:rsidR="00912A91" w:rsidRPr="00601605">
        <w:rPr>
          <w:rFonts w:cs="Times New Roman"/>
          <w:sz w:val="24"/>
          <w:szCs w:val="24"/>
        </w:rPr>
        <w:t xml:space="preserve">the </w:t>
      </w:r>
      <w:r w:rsidR="005B6345" w:rsidRPr="00601605">
        <w:rPr>
          <w:rFonts w:cs="Times New Roman"/>
          <w:sz w:val="24"/>
          <w:szCs w:val="24"/>
        </w:rPr>
        <w:t>b</w:t>
      </w:r>
      <w:r w:rsidR="008664A3" w:rsidRPr="00601605">
        <w:rPr>
          <w:rFonts w:cs="Times New Roman"/>
          <w:sz w:val="24"/>
          <w:szCs w:val="24"/>
        </w:rPr>
        <w:t xml:space="preserve">udget allocation and </w:t>
      </w:r>
      <w:r w:rsidR="005B6345" w:rsidRPr="00601605">
        <w:rPr>
          <w:rFonts w:cs="Times New Roman"/>
          <w:sz w:val="24"/>
          <w:szCs w:val="24"/>
        </w:rPr>
        <w:t xml:space="preserve">public </w:t>
      </w:r>
      <w:r w:rsidR="008664A3" w:rsidRPr="00601605">
        <w:rPr>
          <w:rFonts w:cs="Times New Roman"/>
          <w:sz w:val="24"/>
          <w:szCs w:val="24"/>
        </w:rPr>
        <w:t xml:space="preserve">spending </w:t>
      </w:r>
      <w:r w:rsidR="005B6345" w:rsidRPr="00601605">
        <w:rPr>
          <w:rFonts w:cs="Times New Roman"/>
          <w:sz w:val="24"/>
          <w:szCs w:val="24"/>
        </w:rPr>
        <w:t xml:space="preserve">across sectors and economic categories is </w:t>
      </w:r>
      <w:r w:rsidR="00FA2957">
        <w:rPr>
          <w:rFonts w:cs="Times New Roman"/>
          <w:sz w:val="24"/>
          <w:szCs w:val="24"/>
        </w:rPr>
        <w:t xml:space="preserve">critical for ensuring </w:t>
      </w:r>
      <w:r w:rsidR="00912A91" w:rsidRPr="00601605">
        <w:rPr>
          <w:rFonts w:cs="Times New Roman"/>
          <w:sz w:val="24"/>
          <w:szCs w:val="24"/>
        </w:rPr>
        <w:t>the</w:t>
      </w:r>
      <w:r w:rsidR="005B6345" w:rsidRPr="00601605">
        <w:rPr>
          <w:rFonts w:cs="Times New Roman"/>
          <w:sz w:val="24"/>
          <w:szCs w:val="24"/>
        </w:rPr>
        <w:t xml:space="preserve"> optimal provision of economic and social services in the country. Therefore the note discusses allocation and spending among MKUKUTA clusters, major sectors and in</w:t>
      </w:r>
      <w:r w:rsidR="00636976" w:rsidRPr="00601605">
        <w:rPr>
          <w:rFonts w:cs="Times New Roman"/>
          <w:sz w:val="24"/>
          <w:szCs w:val="24"/>
        </w:rPr>
        <w:t xml:space="preserve"> terms of</w:t>
      </w:r>
      <w:r w:rsidR="00912A91" w:rsidRPr="00601605">
        <w:rPr>
          <w:rFonts w:cs="Times New Roman"/>
          <w:sz w:val="24"/>
          <w:szCs w:val="24"/>
        </w:rPr>
        <w:t xml:space="preserve"> the</w:t>
      </w:r>
      <w:r w:rsidR="00636976" w:rsidRPr="00601605">
        <w:rPr>
          <w:rFonts w:cs="Times New Roman"/>
          <w:sz w:val="24"/>
          <w:szCs w:val="24"/>
        </w:rPr>
        <w:t xml:space="preserve"> economic nature of spending such as wages, mainte</w:t>
      </w:r>
      <w:r w:rsidR="00636976" w:rsidRPr="00601605">
        <w:rPr>
          <w:rFonts w:cs="Times New Roman"/>
          <w:i/>
          <w:sz w:val="24"/>
          <w:szCs w:val="24"/>
        </w:rPr>
        <w:t>n</w:t>
      </w:r>
      <w:r w:rsidR="00636976" w:rsidRPr="00601605">
        <w:rPr>
          <w:rFonts w:cs="Times New Roman"/>
          <w:sz w:val="24"/>
          <w:szCs w:val="24"/>
        </w:rPr>
        <w:t>ance, infrastructure investment</w:t>
      </w:r>
      <w:r w:rsidR="005B6345" w:rsidRPr="00601605">
        <w:rPr>
          <w:rFonts w:cs="Times New Roman"/>
          <w:sz w:val="24"/>
          <w:szCs w:val="24"/>
        </w:rPr>
        <w:t>, and local government</w:t>
      </w:r>
      <w:r w:rsidR="00636976" w:rsidRPr="00601605">
        <w:rPr>
          <w:rFonts w:cs="Times New Roman"/>
          <w:sz w:val="24"/>
          <w:szCs w:val="24"/>
        </w:rPr>
        <w:t xml:space="preserve">. </w:t>
      </w:r>
      <w:r w:rsidR="005B6345" w:rsidRPr="00601605">
        <w:rPr>
          <w:rFonts w:cs="Times New Roman"/>
          <w:sz w:val="24"/>
          <w:szCs w:val="24"/>
        </w:rPr>
        <w:t>T</w:t>
      </w:r>
      <w:r w:rsidR="00912A91" w:rsidRPr="00601605">
        <w:rPr>
          <w:rFonts w:cs="Times New Roman"/>
          <w:sz w:val="24"/>
          <w:szCs w:val="24"/>
        </w:rPr>
        <w:t>he t</w:t>
      </w:r>
      <w:r w:rsidR="005B6345" w:rsidRPr="00601605">
        <w:rPr>
          <w:rFonts w:cs="Times New Roman"/>
          <w:sz w:val="24"/>
          <w:szCs w:val="24"/>
        </w:rPr>
        <w:t xml:space="preserve">hird section </w:t>
      </w:r>
      <w:r w:rsidR="004C0331">
        <w:rPr>
          <w:rFonts w:cs="Times New Roman"/>
          <w:sz w:val="24"/>
          <w:szCs w:val="24"/>
        </w:rPr>
        <w:t xml:space="preserve">emphasizes </w:t>
      </w:r>
      <w:r w:rsidR="004C0331" w:rsidRPr="00601605">
        <w:rPr>
          <w:rFonts w:cs="Times New Roman"/>
          <w:sz w:val="24"/>
          <w:szCs w:val="24"/>
        </w:rPr>
        <w:t>some</w:t>
      </w:r>
      <w:r w:rsidR="005B6345" w:rsidRPr="00601605">
        <w:rPr>
          <w:rFonts w:cs="Times New Roman"/>
          <w:sz w:val="24"/>
          <w:szCs w:val="24"/>
        </w:rPr>
        <w:t xml:space="preserve"> issues </w:t>
      </w:r>
      <w:r w:rsidR="00D82AF6">
        <w:rPr>
          <w:rFonts w:cs="Times New Roman"/>
          <w:sz w:val="24"/>
          <w:szCs w:val="24"/>
        </w:rPr>
        <w:t xml:space="preserve">emerging </w:t>
      </w:r>
      <w:r w:rsidR="005B6345" w:rsidRPr="00601605">
        <w:rPr>
          <w:rFonts w:cs="Times New Roman"/>
          <w:sz w:val="24"/>
          <w:szCs w:val="24"/>
        </w:rPr>
        <w:t xml:space="preserve">from the analysis of the </w:t>
      </w:r>
      <w:r w:rsidR="004F32D9" w:rsidRPr="00601605">
        <w:rPr>
          <w:rFonts w:cs="Times New Roman"/>
          <w:sz w:val="24"/>
          <w:szCs w:val="24"/>
        </w:rPr>
        <w:t xml:space="preserve">budget allocations and spending within the major sectors.  </w:t>
      </w:r>
      <w:r w:rsidR="00636976" w:rsidRPr="00601605">
        <w:rPr>
          <w:rFonts w:cs="Times New Roman"/>
          <w:sz w:val="24"/>
          <w:szCs w:val="24"/>
        </w:rPr>
        <w:t xml:space="preserve">The </w:t>
      </w:r>
      <w:r w:rsidR="004F32D9" w:rsidRPr="00601605">
        <w:rPr>
          <w:rFonts w:cs="Times New Roman"/>
          <w:sz w:val="24"/>
          <w:szCs w:val="24"/>
        </w:rPr>
        <w:t>note ends by pointing out some potential fiscal risk issues, both in the medium and long</w:t>
      </w:r>
      <w:r w:rsidR="002D1A1F">
        <w:rPr>
          <w:rFonts w:cs="Times New Roman"/>
          <w:sz w:val="24"/>
          <w:szCs w:val="24"/>
        </w:rPr>
        <w:t>er</w:t>
      </w:r>
      <w:r w:rsidR="004F32D9" w:rsidRPr="00601605">
        <w:rPr>
          <w:rFonts w:cs="Times New Roman"/>
          <w:sz w:val="24"/>
          <w:szCs w:val="24"/>
        </w:rPr>
        <w:t xml:space="preserve"> term.</w:t>
      </w:r>
    </w:p>
    <w:p w:rsidR="00652BCC" w:rsidRPr="00601605" w:rsidRDefault="00652BCC" w:rsidP="00601605">
      <w:pPr>
        <w:spacing w:after="0" w:line="240" w:lineRule="auto"/>
        <w:mirrorIndents/>
        <w:jc w:val="both"/>
        <w:rPr>
          <w:rFonts w:cs="Times New Roman"/>
          <w:sz w:val="24"/>
          <w:szCs w:val="24"/>
        </w:rPr>
      </w:pPr>
    </w:p>
    <w:p w:rsidR="005A0DE2" w:rsidRPr="00601605" w:rsidRDefault="005A0DE2" w:rsidP="00F719A0">
      <w:pPr>
        <w:numPr>
          <w:ilvl w:val="0"/>
          <w:numId w:val="30"/>
        </w:numPr>
        <w:tabs>
          <w:tab w:val="num" w:pos="720"/>
        </w:tabs>
        <w:spacing w:after="0" w:line="240" w:lineRule="auto"/>
        <w:ind w:left="0" w:firstLine="0"/>
        <w:contextualSpacing/>
        <w:mirrorIndents/>
        <w:jc w:val="both"/>
        <w:rPr>
          <w:rFonts w:ascii="Calibri" w:hAnsi="Calibri" w:cs="Calibri"/>
          <w:b/>
          <w:bCs/>
          <w:sz w:val="24"/>
          <w:szCs w:val="24"/>
        </w:rPr>
      </w:pPr>
      <w:r w:rsidRPr="00601605">
        <w:rPr>
          <w:rFonts w:ascii="Calibri" w:hAnsi="Calibri" w:cs="Calibri"/>
          <w:b/>
          <w:sz w:val="24"/>
          <w:szCs w:val="24"/>
        </w:rPr>
        <w:t>It is worth noting that the Government made an important change in the budget cycle</w:t>
      </w:r>
      <w:r w:rsidR="00D82AF6">
        <w:rPr>
          <w:rFonts w:ascii="Calibri" w:hAnsi="Calibri" w:cs="Calibri"/>
          <w:b/>
          <w:sz w:val="24"/>
          <w:szCs w:val="24"/>
        </w:rPr>
        <w:t xml:space="preserve">, which was </w:t>
      </w:r>
      <w:r w:rsidR="004C0331">
        <w:rPr>
          <w:rFonts w:ascii="Calibri" w:hAnsi="Calibri" w:cs="Calibri"/>
          <w:b/>
          <w:sz w:val="24"/>
          <w:szCs w:val="24"/>
        </w:rPr>
        <w:t xml:space="preserve">incorporated </w:t>
      </w:r>
      <w:r w:rsidR="004C0331" w:rsidRPr="00601605">
        <w:rPr>
          <w:rFonts w:ascii="Calibri" w:hAnsi="Calibri" w:cs="Calibri"/>
          <w:b/>
          <w:sz w:val="24"/>
          <w:szCs w:val="24"/>
        </w:rPr>
        <w:t>during</w:t>
      </w:r>
      <w:r w:rsidR="00D82AF6">
        <w:rPr>
          <w:rFonts w:ascii="Calibri" w:hAnsi="Calibri" w:cs="Calibri"/>
          <w:b/>
          <w:sz w:val="24"/>
          <w:szCs w:val="24"/>
        </w:rPr>
        <w:t xml:space="preserve"> the preparation and adoption of the </w:t>
      </w:r>
      <w:r w:rsidRPr="00601605">
        <w:rPr>
          <w:rFonts w:ascii="Calibri" w:hAnsi="Calibri" w:cs="Calibri"/>
          <w:b/>
          <w:sz w:val="24"/>
          <w:szCs w:val="24"/>
        </w:rPr>
        <w:t>2013/14 budget.</w:t>
      </w:r>
      <w:r w:rsidRPr="00601605">
        <w:rPr>
          <w:rFonts w:ascii="Calibri" w:hAnsi="Calibri" w:cs="Calibri"/>
          <w:sz w:val="24"/>
          <w:szCs w:val="24"/>
        </w:rPr>
        <w:t xml:space="preserve"> </w:t>
      </w:r>
      <w:r w:rsidR="008B1D34" w:rsidRPr="00601605">
        <w:rPr>
          <w:rFonts w:ascii="Calibri" w:hAnsi="Calibri" w:cs="Calibri"/>
          <w:sz w:val="24"/>
          <w:szCs w:val="24"/>
        </w:rPr>
        <w:t>The new</w:t>
      </w:r>
      <w:r w:rsidRPr="00601605">
        <w:rPr>
          <w:rFonts w:ascii="Calibri" w:hAnsi="Calibri" w:cs="Calibri"/>
          <w:sz w:val="24"/>
          <w:szCs w:val="24"/>
        </w:rPr>
        <w:t xml:space="preserve"> budget cycle </w:t>
      </w:r>
      <w:r w:rsidR="00D82AF6">
        <w:rPr>
          <w:rFonts w:ascii="Calibri" w:hAnsi="Calibri" w:cs="Calibri"/>
          <w:sz w:val="24"/>
          <w:szCs w:val="24"/>
        </w:rPr>
        <w:t xml:space="preserve">was justified on the basis to broaden the </w:t>
      </w:r>
      <w:r w:rsidRPr="00601605">
        <w:rPr>
          <w:rFonts w:ascii="Calibri" w:hAnsi="Calibri" w:cs="Calibri"/>
          <w:sz w:val="24"/>
          <w:szCs w:val="24"/>
        </w:rPr>
        <w:t>participation in the budget preparation</w:t>
      </w:r>
      <w:r w:rsidR="00D82AF6">
        <w:rPr>
          <w:rFonts w:ascii="Calibri" w:hAnsi="Calibri" w:cs="Calibri"/>
          <w:sz w:val="24"/>
          <w:szCs w:val="24"/>
        </w:rPr>
        <w:t>, including by Parliament</w:t>
      </w:r>
      <w:r w:rsidR="008B1D34">
        <w:rPr>
          <w:rFonts w:ascii="Calibri" w:hAnsi="Calibri" w:cs="Calibri"/>
          <w:sz w:val="24"/>
          <w:szCs w:val="24"/>
        </w:rPr>
        <w:t xml:space="preserve">, </w:t>
      </w:r>
      <w:r w:rsidR="008B1D34" w:rsidRPr="00601605">
        <w:rPr>
          <w:rFonts w:ascii="Calibri" w:hAnsi="Calibri" w:cs="Calibri"/>
          <w:sz w:val="24"/>
          <w:szCs w:val="24"/>
        </w:rPr>
        <w:t>and</w:t>
      </w:r>
      <w:r w:rsidRPr="00601605">
        <w:rPr>
          <w:rFonts w:ascii="Calibri" w:hAnsi="Calibri" w:cs="Calibri"/>
          <w:sz w:val="24"/>
          <w:szCs w:val="24"/>
        </w:rPr>
        <w:t xml:space="preserve"> allow </w:t>
      </w:r>
      <w:r w:rsidR="00305D8F">
        <w:rPr>
          <w:rFonts w:ascii="Calibri" w:hAnsi="Calibri" w:cs="Calibri"/>
          <w:sz w:val="24"/>
          <w:szCs w:val="24"/>
        </w:rPr>
        <w:t xml:space="preserve">its </w:t>
      </w:r>
      <w:r w:rsidRPr="00601605">
        <w:rPr>
          <w:rFonts w:ascii="Calibri" w:hAnsi="Calibri" w:cs="Calibri"/>
          <w:sz w:val="24"/>
          <w:szCs w:val="24"/>
        </w:rPr>
        <w:t xml:space="preserve">execution to start on July 1. Therefore, sector budgets, which </w:t>
      </w:r>
      <w:r w:rsidR="00405ABD" w:rsidRPr="00601605">
        <w:rPr>
          <w:rFonts w:ascii="Calibri" w:hAnsi="Calibri" w:cs="Calibri"/>
          <w:sz w:val="24"/>
          <w:szCs w:val="24"/>
        </w:rPr>
        <w:t xml:space="preserve">include </w:t>
      </w:r>
      <w:r w:rsidRPr="00601605">
        <w:rPr>
          <w:rFonts w:ascii="Calibri" w:hAnsi="Calibri" w:cs="Calibri"/>
          <w:sz w:val="24"/>
          <w:szCs w:val="24"/>
        </w:rPr>
        <w:t xml:space="preserve">MDAs, regions, and local government authorities (LGAs), were presented and </w:t>
      </w:r>
      <w:r w:rsidRPr="00601605">
        <w:rPr>
          <w:rFonts w:ascii="Calibri" w:hAnsi="Calibri" w:cs="Calibri"/>
          <w:sz w:val="24"/>
          <w:szCs w:val="24"/>
        </w:rPr>
        <w:lastRenderedPageBreak/>
        <w:t xml:space="preserve">debated by the Parliament </w:t>
      </w:r>
      <w:r w:rsidR="00405ABD" w:rsidRPr="00601605">
        <w:rPr>
          <w:rFonts w:ascii="Calibri" w:hAnsi="Calibri" w:cs="Calibri"/>
          <w:sz w:val="24"/>
          <w:szCs w:val="24"/>
        </w:rPr>
        <w:t xml:space="preserve">from April to June, and the overall budget framework </w:t>
      </w:r>
      <w:r w:rsidR="00305D8F">
        <w:rPr>
          <w:rFonts w:ascii="Calibri" w:hAnsi="Calibri" w:cs="Calibri"/>
          <w:sz w:val="24"/>
          <w:szCs w:val="24"/>
        </w:rPr>
        <w:t xml:space="preserve">was </w:t>
      </w:r>
      <w:r w:rsidR="00445BFD">
        <w:rPr>
          <w:rFonts w:ascii="Calibri" w:hAnsi="Calibri" w:cs="Calibri"/>
          <w:sz w:val="24"/>
          <w:szCs w:val="24"/>
        </w:rPr>
        <w:t xml:space="preserve">approved </w:t>
      </w:r>
      <w:r w:rsidR="00405ABD" w:rsidRPr="00601605">
        <w:rPr>
          <w:rFonts w:ascii="Calibri" w:hAnsi="Calibri" w:cs="Calibri"/>
          <w:sz w:val="24"/>
          <w:szCs w:val="24"/>
        </w:rPr>
        <w:t>by end June.</w:t>
      </w:r>
      <w:r w:rsidR="00F719A0">
        <w:rPr>
          <w:rFonts w:ascii="Calibri" w:hAnsi="Calibri" w:cs="Calibri"/>
          <w:sz w:val="24"/>
          <w:szCs w:val="24"/>
        </w:rPr>
        <w:t xml:space="preserve"> There is room to further improve the process to preserve macro-fiscal control, in particular to seek endorsement by the Parliament of the overall budget framework before the individual expenditure votes are debated.</w:t>
      </w:r>
    </w:p>
    <w:p w:rsidR="005A0DE2" w:rsidRPr="008138F9" w:rsidRDefault="005A0DE2" w:rsidP="003D7A2D">
      <w:pPr>
        <w:spacing w:after="0" w:line="240" w:lineRule="auto"/>
        <w:mirrorIndents/>
        <w:jc w:val="both"/>
        <w:rPr>
          <w:rFonts w:cs="Times New Roman"/>
          <w:sz w:val="24"/>
          <w:szCs w:val="24"/>
        </w:rPr>
      </w:pPr>
    </w:p>
    <w:p w:rsidR="00636976" w:rsidRPr="008138F9" w:rsidRDefault="00636976" w:rsidP="003D7A2D">
      <w:pPr>
        <w:pStyle w:val="ListParagraph"/>
        <w:numPr>
          <w:ilvl w:val="0"/>
          <w:numId w:val="29"/>
        </w:numPr>
        <w:spacing w:after="0" w:line="240" w:lineRule="auto"/>
        <w:ind w:left="0" w:firstLine="0"/>
        <w:mirrorIndents/>
        <w:jc w:val="both"/>
        <w:rPr>
          <w:rFonts w:cs="Times New Roman"/>
          <w:b/>
          <w:sz w:val="28"/>
          <w:szCs w:val="28"/>
        </w:rPr>
      </w:pPr>
      <w:r w:rsidRPr="008138F9">
        <w:rPr>
          <w:rFonts w:cs="Times New Roman"/>
          <w:b/>
          <w:sz w:val="28"/>
          <w:szCs w:val="28"/>
        </w:rPr>
        <w:t>Macro-</w:t>
      </w:r>
      <w:r w:rsidR="00016CCE" w:rsidRPr="008138F9">
        <w:rPr>
          <w:rFonts w:cs="Times New Roman"/>
          <w:b/>
          <w:sz w:val="28"/>
          <w:szCs w:val="28"/>
        </w:rPr>
        <w:t>F</w:t>
      </w:r>
      <w:r w:rsidRPr="008138F9">
        <w:rPr>
          <w:rFonts w:cs="Times New Roman"/>
          <w:b/>
          <w:sz w:val="28"/>
          <w:szCs w:val="28"/>
        </w:rPr>
        <w:t xml:space="preserve">iscal </w:t>
      </w:r>
      <w:r w:rsidR="00016CCE" w:rsidRPr="008138F9">
        <w:rPr>
          <w:rFonts w:cs="Times New Roman"/>
          <w:b/>
          <w:sz w:val="28"/>
          <w:szCs w:val="28"/>
        </w:rPr>
        <w:t>F</w:t>
      </w:r>
      <w:r w:rsidRPr="008138F9">
        <w:rPr>
          <w:rFonts w:cs="Times New Roman"/>
          <w:b/>
          <w:sz w:val="28"/>
          <w:szCs w:val="28"/>
        </w:rPr>
        <w:t>ramework and Outlook</w:t>
      </w:r>
    </w:p>
    <w:p w:rsidR="00016CCE" w:rsidRPr="008138F9" w:rsidRDefault="00016CCE" w:rsidP="003D7A2D">
      <w:pPr>
        <w:tabs>
          <w:tab w:val="num" w:pos="0"/>
        </w:tabs>
        <w:spacing w:after="0" w:line="240" w:lineRule="auto"/>
        <w:contextualSpacing/>
        <w:mirrorIndents/>
        <w:jc w:val="both"/>
        <w:rPr>
          <w:rFonts w:cs="Times New Roman"/>
          <w:sz w:val="24"/>
          <w:szCs w:val="24"/>
        </w:rPr>
      </w:pPr>
    </w:p>
    <w:p w:rsidR="00636976" w:rsidRPr="008138F9" w:rsidRDefault="00636976" w:rsidP="003D7A2D">
      <w:pPr>
        <w:pStyle w:val="ListParagraph"/>
        <w:numPr>
          <w:ilvl w:val="0"/>
          <w:numId w:val="31"/>
        </w:numPr>
        <w:spacing w:after="0" w:line="240" w:lineRule="auto"/>
        <w:ind w:left="0" w:firstLine="0"/>
        <w:mirrorIndents/>
        <w:jc w:val="both"/>
        <w:rPr>
          <w:rFonts w:cs="Times New Roman"/>
          <w:b/>
          <w:sz w:val="24"/>
          <w:szCs w:val="24"/>
        </w:rPr>
      </w:pPr>
      <w:r w:rsidRPr="008138F9">
        <w:rPr>
          <w:rFonts w:cs="Times New Roman"/>
          <w:b/>
          <w:sz w:val="24"/>
          <w:szCs w:val="24"/>
        </w:rPr>
        <w:t xml:space="preserve">Macroeconomic Context </w:t>
      </w:r>
    </w:p>
    <w:p w:rsidR="00E13F98" w:rsidRPr="008138F9" w:rsidRDefault="00E13F98" w:rsidP="00E13F98">
      <w:pPr>
        <w:pStyle w:val="ListParagraph"/>
        <w:spacing w:after="0" w:line="240" w:lineRule="auto"/>
        <w:ind w:left="0"/>
        <w:mirrorIndents/>
        <w:jc w:val="both"/>
        <w:rPr>
          <w:rFonts w:cs="Times New Roman"/>
          <w:b/>
          <w:sz w:val="24"/>
          <w:szCs w:val="24"/>
        </w:rPr>
      </w:pPr>
    </w:p>
    <w:p w:rsidR="001C319C" w:rsidRPr="00601605" w:rsidRDefault="00E13F98" w:rsidP="00601605">
      <w:pPr>
        <w:numPr>
          <w:ilvl w:val="0"/>
          <w:numId w:val="30"/>
        </w:numPr>
        <w:tabs>
          <w:tab w:val="num" w:pos="720"/>
        </w:tabs>
        <w:spacing w:after="0" w:line="240" w:lineRule="auto"/>
        <w:ind w:left="0" w:firstLine="0"/>
        <w:contextualSpacing/>
        <w:mirrorIndents/>
        <w:jc w:val="both"/>
        <w:rPr>
          <w:rFonts w:cs="Times New Roman"/>
          <w:sz w:val="24"/>
          <w:szCs w:val="24"/>
        </w:rPr>
      </w:pPr>
      <w:r w:rsidRPr="00601605">
        <w:rPr>
          <w:rFonts w:cs="Times New Roman"/>
          <w:b/>
          <w:sz w:val="24"/>
          <w:szCs w:val="24"/>
        </w:rPr>
        <w:t xml:space="preserve">Tanzania </w:t>
      </w:r>
      <w:r w:rsidR="00B01DDE" w:rsidRPr="00601605">
        <w:rPr>
          <w:rFonts w:cs="Times New Roman"/>
          <w:b/>
          <w:sz w:val="24"/>
          <w:szCs w:val="24"/>
        </w:rPr>
        <w:t>continue</w:t>
      </w:r>
      <w:r w:rsidR="001C319C" w:rsidRPr="00601605">
        <w:rPr>
          <w:rFonts w:cs="Times New Roman"/>
          <w:b/>
          <w:sz w:val="24"/>
          <w:szCs w:val="24"/>
        </w:rPr>
        <w:t>s</w:t>
      </w:r>
      <w:r w:rsidR="00B01DDE" w:rsidRPr="00601605">
        <w:rPr>
          <w:rFonts w:cs="Times New Roman"/>
          <w:b/>
          <w:sz w:val="24"/>
          <w:szCs w:val="24"/>
        </w:rPr>
        <w:t xml:space="preserve"> to register relatively high GDP growth rates. </w:t>
      </w:r>
      <w:r w:rsidR="00B01DDE" w:rsidRPr="00601605">
        <w:rPr>
          <w:rFonts w:cs="Times New Roman"/>
          <w:sz w:val="24"/>
          <w:szCs w:val="24"/>
        </w:rPr>
        <w:t xml:space="preserve">Real GDP growth is estimated to have reached </w:t>
      </w:r>
      <w:r w:rsidR="009D7D2C">
        <w:rPr>
          <w:rFonts w:cs="Times New Roman"/>
          <w:sz w:val="24"/>
          <w:szCs w:val="24"/>
        </w:rPr>
        <w:t xml:space="preserve">seven </w:t>
      </w:r>
      <w:r w:rsidR="00B01DDE" w:rsidRPr="00601605">
        <w:rPr>
          <w:rFonts w:cs="Times New Roman"/>
          <w:sz w:val="24"/>
          <w:szCs w:val="24"/>
        </w:rPr>
        <w:t xml:space="preserve">percent in 2012/13 on account of </w:t>
      </w:r>
      <w:r w:rsidRPr="00601605">
        <w:rPr>
          <w:rFonts w:cs="Times New Roman"/>
          <w:sz w:val="24"/>
          <w:szCs w:val="24"/>
        </w:rPr>
        <w:t>fast-growing sectors, such as communication, financial services, construction, manufacturing, and retail trade</w:t>
      </w:r>
      <w:r w:rsidR="00B01DDE" w:rsidRPr="00601605">
        <w:rPr>
          <w:rFonts w:cs="Times New Roman"/>
          <w:sz w:val="24"/>
          <w:szCs w:val="24"/>
        </w:rPr>
        <w:t xml:space="preserve"> </w:t>
      </w:r>
      <w:r w:rsidRPr="008B1D34">
        <w:rPr>
          <w:rFonts w:cs="Times New Roman"/>
          <w:sz w:val="24"/>
          <w:szCs w:val="24"/>
        </w:rPr>
        <w:t>(</w:t>
      </w:r>
      <w:r w:rsidR="0008253C" w:rsidRPr="008B1D34">
        <w:rPr>
          <w:rFonts w:cs="Times New Roman"/>
          <w:sz w:val="24"/>
          <w:szCs w:val="24"/>
        </w:rPr>
        <w:fldChar w:fldCharType="begin"/>
      </w:r>
      <w:r w:rsidR="0008253C" w:rsidRPr="008B1D34">
        <w:rPr>
          <w:rFonts w:cs="Times New Roman"/>
          <w:sz w:val="24"/>
          <w:szCs w:val="24"/>
        </w:rPr>
        <w:instrText xml:space="preserve"> REF _Ref369597694 \h </w:instrText>
      </w:r>
      <w:r w:rsidR="006C2ACA" w:rsidRPr="008B1D34">
        <w:rPr>
          <w:rFonts w:cs="Times New Roman"/>
          <w:sz w:val="24"/>
          <w:szCs w:val="24"/>
        </w:rPr>
        <w:instrText xml:space="preserve"> \* MERGEFORMAT </w:instrText>
      </w:r>
      <w:r w:rsidR="0008253C" w:rsidRPr="008B1D34">
        <w:rPr>
          <w:rFonts w:cs="Times New Roman"/>
          <w:sz w:val="24"/>
          <w:szCs w:val="24"/>
        </w:rPr>
      </w:r>
      <w:r w:rsidR="0008253C" w:rsidRPr="008B1D34">
        <w:rPr>
          <w:rFonts w:cs="Times New Roman"/>
          <w:sz w:val="24"/>
          <w:szCs w:val="24"/>
        </w:rPr>
        <w:fldChar w:fldCharType="separate"/>
      </w:r>
      <w:r w:rsidR="005B207F" w:rsidRPr="005B207F">
        <w:rPr>
          <w:rFonts w:cs="Times New Roman"/>
          <w:sz w:val="24"/>
          <w:szCs w:val="24"/>
        </w:rPr>
        <w:t xml:space="preserve">Table </w:t>
      </w:r>
      <w:r w:rsidR="005B207F" w:rsidRPr="005B207F">
        <w:rPr>
          <w:rFonts w:cs="Times New Roman"/>
          <w:noProof/>
          <w:sz w:val="24"/>
          <w:szCs w:val="24"/>
        </w:rPr>
        <w:t>1</w:t>
      </w:r>
      <w:r w:rsidR="0008253C" w:rsidRPr="008B1D34">
        <w:rPr>
          <w:rFonts w:cs="Times New Roman"/>
          <w:sz w:val="24"/>
          <w:szCs w:val="24"/>
        </w:rPr>
        <w:fldChar w:fldCharType="end"/>
      </w:r>
      <w:r w:rsidR="00986689" w:rsidRPr="008B1D34">
        <w:rPr>
          <w:rFonts w:cs="Times New Roman"/>
          <w:sz w:val="24"/>
          <w:szCs w:val="24"/>
        </w:rPr>
        <w:t xml:space="preserve"> and</w:t>
      </w:r>
      <w:r w:rsidR="00B56E09">
        <w:rPr>
          <w:rFonts w:cs="Times New Roman"/>
          <w:sz w:val="24"/>
          <w:szCs w:val="24"/>
        </w:rPr>
        <w:t xml:space="preserve"> Figure 1)</w:t>
      </w:r>
      <w:r w:rsidR="00B75AEC">
        <w:rPr>
          <w:rFonts w:cs="Times New Roman"/>
          <w:sz w:val="24"/>
          <w:szCs w:val="24"/>
        </w:rPr>
        <w:t>.</w:t>
      </w:r>
      <w:r w:rsidR="009C2E66" w:rsidRPr="008B1D34">
        <w:rPr>
          <w:rFonts w:cs="Times New Roman"/>
          <w:sz w:val="24"/>
          <w:szCs w:val="24"/>
        </w:rPr>
        <w:t xml:space="preserve"> </w:t>
      </w:r>
      <w:r w:rsidRPr="008B1D34">
        <w:rPr>
          <w:rFonts w:cs="Times New Roman"/>
          <w:sz w:val="24"/>
          <w:szCs w:val="24"/>
        </w:rPr>
        <w:t xml:space="preserve">The industrial and construction activities </w:t>
      </w:r>
      <w:r w:rsidR="006060DE" w:rsidRPr="008B1D34">
        <w:rPr>
          <w:rFonts w:cs="Times New Roman"/>
          <w:sz w:val="24"/>
          <w:szCs w:val="24"/>
        </w:rPr>
        <w:t xml:space="preserve">continue to expand steadily, partly driven by </w:t>
      </w:r>
      <w:r w:rsidR="00912A91" w:rsidRPr="008B1D34">
        <w:rPr>
          <w:rFonts w:cs="Times New Roman"/>
          <w:sz w:val="24"/>
          <w:szCs w:val="24"/>
        </w:rPr>
        <w:t xml:space="preserve">the </w:t>
      </w:r>
      <w:r w:rsidR="002D1A1F">
        <w:rPr>
          <w:rFonts w:cs="Times New Roman"/>
          <w:sz w:val="24"/>
          <w:szCs w:val="24"/>
        </w:rPr>
        <w:t>improved</w:t>
      </w:r>
      <w:r w:rsidR="006060DE" w:rsidRPr="008B1D34">
        <w:rPr>
          <w:rFonts w:cs="Times New Roman"/>
          <w:sz w:val="24"/>
          <w:szCs w:val="24"/>
        </w:rPr>
        <w:t xml:space="preserve"> electricity supply which has impacted </w:t>
      </w:r>
      <w:r w:rsidR="00912A91" w:rsidRPr="008B1D34">
        <w:rPr>
          <w:rFonts w:cs="Times New Roman"/>
          <w:sz w:val="24"/>
          <w:szCs w:val="24"/>
        </w:rPr>
        <w:t xml:space="preserve">positively on the </w:t>
      </w:r>
      <w:r w:rsidR="006060DE" w:rsidRPr="008B1D34">
        <w:rPr>
          <w:rFonts w:cs="Times New Roman"/>
          <w:sz w:val="24"/>
          <w:szCs w:val="24"/>
        </w:rPr>
        <w:t xml:space="preserve">manufacturing and construction sectors. </w:t>
      </w:r>
      <w:r w:rsidRPr="008B1D34">
        <w:rPr>
          <w:rFonts w:cs="Times New Roman"/>
          <w:sz w:val="24"/>
          <w:szCs w:val="24"/>
        </w:rPr>
        <w:t>Concurrently, the se</w:t>
      </w:r>
      <w:r w:rsidRPr="00601605">
        <w:rPr>
          <w:rFonts w:cs="Times New Roman"/>
          <w:sz w:val="24"/>
          <w:szCs w:val="24"/>
        </w:rPr>
        <w:t xml:space="preserve">rvices sector has </w:t>
      </w:r>
      <w:r w:rsidR="006060DE" w:rsidRPr="00601605">
        <w:rPr>
          <w:rFonts w:cs="Times New Roman"/>
          <w:sz w:val="24"/>
          <w:szCs w:val="24"/>
        </w:rPr>
        <w:t xml:space="preserve">continued to experience the highest growth driven </w:t>
      </w:r>
      <w:r w:rsidRPr="00601605">
        <w:rPr>
          <w:rFonts w:cs="Times New Roman"/>
          <w:sz w:val="24"/>
          <w:szCs w:val="24"/>
        </w:rPr>
        <w:t>by the expansion in communication, financial services, and retail trade. The communication</w:t>
      </w:r>
      <w:r w:rsidR="00912A91" w:rsidRPr="00601605">
        <w:rPr>
          <w:rFonts w:cs="Times New Roman"/>
          <w:sz w:val="24"/>
          <w:szCs w:val="24"/>
        </w:rPr>
        <w:t>s</w:t>
      </w:r>
      <w:r w:rsidRPr="00601605">
        <w:rPr>
          <w:rFonts w:cs="Times New Roman"/>
          <w:sz w:val="24"/>
          <w:szCs w:val="24"/>
        </w:rPr>
        <w:t xml:space="preserve"> sector </w:t>
      </w:r>
      <w:r w:rsidR="006060DE" w:rsidRPr="00601605">
        <w:rPr>
          <w:rFonts w:cs="Times New Roman"/>
          <w:sz w:val="24"/>
          <w:szCs w:val="24"/>
        </w:rPr>
        <w:t xml:space="preserve">enjoyed </w:t>
      </w:r>
      <w:r w:rsidR="009C6676" w:rsidRPr="00601605">
        <w:rPr>
          <w:rFonts w:cs="Times New Roman"/>
          <w:sz w:val="24"/>
          <w:szCs w:val="24"/>
        </w:rPr>
        <w:t>impressive growth of mor</w:t>
      </w:r>
      <w:r w:rsidR="006060DE" w:rsidRPr="00601605">
        <w:rPr>
          <w:rFonts w:cs="Times New Roman"/>
          <w:sz w:val="24"/>
          <w:szCs w:val="24"/>
        </w:rPr>
        <w:t xml:space="preserve">e than </w:t>
      </w:r>
      <w:r w:rsidR="00B01DDE" w:rsidRPr="00601605">
        <w:rPr>
          <w:rFonts w:cs="Times New Roman"/>
          <w:sz w:val="24"/>
          <w:szCs w:val="24"/>
        </w:rPr>
        <w:t>20 percent</w:t>
      </w:r>
      <w:r w:rsidR="006060DE" w:rsidRPr="00601605">
        <w:rPr>
          <w:rFonts w:cs="Times New Roman"/>
          <w:sz w:val="24"/>
          <w:szCs w:val="24"/>
        </w:rPr>
        <w:t xml:space="preserve"> </w:t>
      </w:r>
      <w:r w:rsidR="00B01DDE" w:rsidRPr="00601605">
        <w:rPr>
          <w:rFonts w:cs="Times New Roman"/>
          <w:sz w:val="24"/>
          <w:szCs w:val="24"/>
        </w:rPr>
        <w:t>per annum</w:t>
      </w:r>
      <w:r w:rsidR="006060DE" w:rsidRPr="00601605">
        <w:rPr>
          <w:rFonts w:cs="Times New Roman"/>
          <w:sz w:val="24"/>
          <w:szCs w:val="24"/>
        </w:rPr>
        <w:t xml:space="preserve"> during the decade</w:t>
      </w:r>
      <w:r w:rsidR="00B01DDE" w:rsidRPr="00601605">
        <w:rPr>
          <w:rFonts w:cs="Times New Roman"/>
          <w:sz w:val="24"/>
          <w:szCs w:val="24"/>
        </w:rPr>
        <w:t xml:space="preserve">. </w:t>
      </w:r>
      <w:r w:rsidRPr="00601605">
        <w:rPr>
          <w:rFonts w:cs="Times New Roman"/>
          <w:sz w:val="24"/>
          <w:szCs w:val="24"/>
        </w:rPr>
        <w:t>Additionally, the steady and rapid economic growth was supported by domestic consumption as the result of fast population</w:t>
      </w:r>
      <w:r w:rsidR="00912A4E">
        <w:rPr>
          <w:rFonts w:cs="Times New Roman"/>
          <w:sz w:val="24"/>
          <w:szCs w:val="24"/>
        </w:rPr>
        <w:t xml:space="preserve"> growth</w:t>
      </w:r>
      <w:r w:rsidRPr="00601605">
        <w:rPr>
          <w:rFonts w:cs="Times New Roman"/>
          <w:sz w:val="24"/>
          <w:szCs w:val="24"/>
        </w:rPr>
        <w:t xml:space="preserve"> and </w:t>
      </w:r>
      <w:r w:rsidR="009D7D2C">
        <w:rPr>
          <w:rFonts w:cs="Times New Roman"/>
          <w:sz w:val="24"/>
          <w:szCs w:val="24"/>
        </w:rPr>
        <w:t>urbanization</w:t>
      </w:r>
      <w:r w:rsidR="009C2E66" w:rsidRPr="00601605">
        <w:rPr>
          <w:rFonts w:cs="Times New Roman"/>
          <w:sz w:val="24"/>
          <w:szCs w:val="24"/>
        </w:rPr>
        <w:t xml:space="preserve">.  </w:t>
      </w:r>
      <w:r w:rsidR="00912A91" w:rsidRPr="00601605">
        <w:rPr>
          <w:rFonts w:cs="Times New Roman"/>
          <w:sz w:val="24"/>
          <w:szCs w:val="24"/>
        </w:rPr>
        <w:t>However</w:t>
      </w:r>
      <w:r w:rsidR="001F4D07" w:rsidRPr="00601605">
        <w:rPr>
          <w:rFonts w:cs="Times New Roman"/>
          <w:sz w:val="24"/>
          <w:szCs w:val="24"/>
        </w:rPr>
        <w:t xml:space="preserve">, </w:t>
      </w:r>
      <w:r w:rsidR="00912A91" w:rsidRPr="00601605">
        <w:rPr>
          <w:rFonts w:cs="Times New Roman"/>
          <w:sz w:val="24"/>
          <w:szCs w:val="24"/>
        </w:rPr>
        <w:t xml:space="preserve">the </w:t>
      </w:r>
      <w:r w:rsidR="009C2E66" w:rsidRPr="00601605">
        <w:rPr>
          <w:rFonts w:cs="Times New Roman"/>
          <w:sz w:val="24"/>
          <w:szCs w:val="24"/>
        </w:rPr>
        <w:t xml:space="preserve">agriculture sector which employs </w:t>
      </w:r>
      <w:r w:rsidR="00912A91" w:rsidRPr="00601605">
        <w:rPr>
          <w:rFonts w:cs="Times New Roman"/>
          <w:sz w:val="24"/>
          <w:szCs w:val="24"/>
        </w:rPr>
        <w:t xml:space="preserve">the </w:t>
      </w:r>
      <w:r w:rsidR="009C2E66" w:rsidRPr="00601605">
        <w:rPr>
          <w:rFonts w:cs="Times New Roman"/>
          <w:sz w:val="24"/>
          <w:szCs w:val="24"/>
        </w:rPr>
        <w:t xml:space="preserve">majority of people </w:t>
      </w:r>
      <w:r w:rsidR="009D7D2C">
        <w:rPr>
          <w:rFonts w:cs="Times New Roman"/>
          <w:sz w:val="24"/>
          <w:szCs w:val="24"/>
        </w:rPr>
        <w:t xml:space="preserve">has </w:t>
      </w:r>
      <w:r w:rsidR="009C2E66" w:rsidRPr="00601605">
        <w:rPr>
          <w:rFonts w:cs="Times New Roman"/>
          <w:sz w:val="24"/>
          <w:szCs w:val="24"/>
        </w:rPr>
        <w:t>continue</w:t>
      </w:r>
      <w:r w:rsidR="009D7D2C">
        <w:rPr>
          <w:rFonts w:cs="Times New Roman"/>
          <w:sz w:val="24"/>
          <w:szCs w:val="24"/>
        </w:rPr>
        <w:t>d</w:t>
      </w:r>
      <w:r w:rsidR="009C2E66" w:rsidRPr="00601605">
        <w:rPr>
          <w:rFonts w:cs="Times New Roman"/>
          <w:sz w:val="24"/>
          <w:szCs w:val="24"/>
        </w:rPr>
        <w:t xml:space="preserve"> to experience limited growth which also translated into limited progress in reducing poverty.</w:t>
      </w:r>
      <w:r w:rsidR="001C319C" w:rsidRPr="00601605">
        <w:rPr>
          <w:b/>
          <w:sz w:val="24"/>
          <w:szCs w:val="24"/>
        </w:rPr>
        <w:t xml:space="preserve"> </w:t>
      </w:r>
      <w:r w:rsidR="00912A91" w:rsidRPr="00601605">
        <w:rPr>
          <w:sz w:val="24"/>
          <w:szCs w:val="24"/>
        </w:rPr>
        <w:t>It should be noted that when adjusted by the rapid population growth of 2.7</w:t>
      </w:r>
      <w:r w:rsidR="00D622AA" w:rsidRPr="00601605">
        <w:rPr>
          <w:sz w:val="24"/>
          <w:szCs w:val="24"/>
        </w:rPr>
        <w:t xml:space="preserve"> percent</w:t>
      </w:r>
      <w:r w:rsidR="00912A91" w:rsidRPr="00601605">
        <w:rPr>
          <w:sz w:val="24"/>
          <w:szCs w:val="24"/>
        </w:rPr>
        <w:t>, the income per capita gro</w:t>
      </w:r>
      <w:r w:rsidR="00D622AA" w:rsidRPr="00601605">
        <w:rPr>
          <w:sz w:val="24"/>
          <w:szCs w:val="24"/>
        </w:rPr>
        <w:t>w</w:t>
      </w:r>
      <w:r w:rsidR="00912A91" w:rsidRPr="00601605">
        <w:rPr>
          <w:sz w:val="24"/>
          <w:szCs w:val="24"/>
        </w:rPr>
        <w:t>th appears more modest at 3.6</w:t>
      </w:r>
      <w:r w:rsidR="00D622AA" w:rsidRPr="00601605">
        <w:rPr>
          <w:sz w:val="24"/>
          <w:szCs w:val="24"/>
        </w:rPr>
        <w:t xml:space="preserve"> percent</w:t>
      </w:r>
      <w:r w:rsidR="00912A91" w:rsidRPr="00601605">
        <w:rPr>
          <w:sz w:val="24"/>
          <w:szCs w:val="24"/>
        </w:rPr>
        <w:t xml:space="preserve"> over the period 2008-12.</w:t>
      </w:r>
    </w:p>
    <w:p w:rsidR="001C319C" w:rsidRPr="00601605" w:rsidRDefault="001C319C" w:rsidP="00601605">
      <w:pPr>
        <w:spacing w:after="0" w:line="240" w:lineRule="auto"/>
        <w:contextualSpacing/>
        <w:mirrorIndents/>
        <w:jc w:val="both"/>
        <w:rPr>
          <w:rFonts w:cs="Times New Roman"/>
          <w:sz w:val="24"/>
          <w:szCs w:val="24"/>
        </w:rPr>
      </w:pPr>
    </w:p>
    <w:p w:rsidR="00B01DDE" w:rsidRDefault="00B01DDE" w:rsidP="000816D8">
      <w:pPr>
        <w:pStyle w:val="Caption"/>
        <w:spacing w:after="120"/>
        <w:jc w:val="center"/>
        <w:rPr>
          <w:rFonts w:cs="Times New Roman"/>
          <w:color w:val="auto"/>
          <w:sz w:val="22"/>
          <w:szCs w:val="22"/>
        </w:rPr>
      </w:pPr>
      <w:bookmarkStart w:id="1" w:name="_Ref369597694"/>
      <w:r w:rsidRPr="008138F9">
        <w:rPr>
          <w:rFonts w:cs="Times New Roman"/>
          <w:color w:val="auto"/>
          <w:sz w:val="22"/>
          <w:szCs w:val="22"/>
        </w:rPr>
        <w:t xml:space="preserve">Table </w:t>
      </w:r>
      <w:r w:rsidRPr="008138F9">
        <w:rPr>
          <w:rFonts w:cs="Times New Roman"/>
          <w:color w:val="auto"/>
          <w:sz w:val="22"/>
          <w:szCs w:val="22"/>
        </w:rPr>
        <w:fldChar w:fldCharType="begin"/>
      </w:r>
      <w:r w:rsidRPr="008138F9">
        <w:rPr>
          <w:rFonts w:cs="Times New Roman"/>
          <w:color w:val="auto"/>
          <w:sz w:val="22"/>
          <w:szCs w:val="22"/>
        </w:rPr>
        <w:instrText xml:space="preserve"> SEQ Table \* ARABIC </w:instrText>
      </w:r>
      <w:r w:rsidRPr="008138F9">
        <w:rPr>
          <w:rFonts w:cs="Times New Roman"/>
          <w:color w:val="auto"/>
          <w:sz w:val="22"/>
          <w:szCs w:val="22"/>
        </w:rPr>
        <w:fldChar w:fldCharType="separate"/>
      </w:r>
      <w:r w:rsidR="005B207F">
        <w:rPr>
          <w:rFonts w:cs="Times New Roman"/>
          <w:noProof/>
          <w:color w:val="auto"/>
          <w:sz w:val="22"/>
          <w:szCs w:val="22"/>
        </w:rPr>
        <w:t>1</w:t>
      </w:r>
      <w:r w:rsidRPr="008138F9">
        <w:rPr>
          <w:rFonts w:cs="Times New Roman"/>
          <w:color w:val="auto"/>
          <w:sz w:val="22"/>
          <w:szCs w:val="22"/>
        </w:rPr>
        <w:fldChar w:fldCharType="end"/>
      </w:r>
      <w:bookmarkEnd w:id="1"/>
      <w:r w:rsidRPr="008138F9">
        <w:rPr>
          <w:rFonts w:cs="Times New Roman"/>
          <w:color w:val="auto"/>
          <w:sz w:val="22"/>
          <w:szCs w:val="22"/>
        </w:rPr>
        <w:t>: Key macroeconomic indicators</w:t>
      </w:r>
    </w:p>
    <w:p w:rsidR="002E3BB4" w:rsidRDefault="00DC42AB" w:rsidP="00D622AA">
      <w:pPr>
        <w:spacing w:after="0" w:line="240" w:lineRule="auto"/>
        <w:jc w:val="center"/>
        <w:rPr>
          <w:noProof/>
        </w:rPr>
      </w:pPr>
      <w:r w:rsidRPr="00DC42AB">
        <w:rPr>
          <w:noProof/>
        </w:rPr>
        <w:drawing>
          <wp:inline distT="0" distB="0" distL="0" distR="0" wp14:anchorId="78F272E1" wp14:editId="082E0A1E">
            <wp:extent cx="5757334" cy="181186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5980" cy="1814588"/>
                    </a:xfrm>
                    <a:prstGeom prst="rect">
                      <a:avLst/>
                    </a:prstGeom>
                    <a:noFill/>
                    <a:ln>
                      <a:noFill/>
                    </a:ln>
                  </pic:spPr>
                </pic:pic>
              </a:graphicData>
            </a:graphic>
          </wp:inline>
        </w:drawing>
      </w:r>
    </w:p>
    <w:p w:rsidR="0080385B" w:rsidRDefault="001A14E6" w:rsidP="003D7A2D">
      <w:pPr>
        <w:spacing w:after="0" w:line="240" w:lineRule="auto"/>
        <w:contextualSpacing/>
        <w:mirrorIndents/>
        <w:jc w:val="both"/>
        <w:rPr>
          <w:rFonts w:cs="Calibri"/>
          <w:bCs/>
        </w:rPr>
      </w:pPr>
      <w:r>
        <w:rPr>
          <w:rFonts w:cs="Calibri"/>
          <w:bCs/>
        </w:rPr>
        <w:t xml:space="preserve"> </w:t>
      </w:r>
      <w:r w:rsidR="00DC42AB">
        <w:rPr>
          <w:rFonts w:cs="Calibri"/>
          <w:bCs/>
        </w:rPr>
        <w:t xml:space="preserve">  </w:t>
      </w:r>
      <w:r w:rsidR="00DA05F0">
        <w:rPr>
          <w:rFonts w:cs="Calibri"/>
          <w:bCs/>
        </w:rPr>
        <w:t>Source:</w:t>
      </w:r>
      <w:r w:rsidR="007439EA">
        <w:rPr>
          <w:rFonts w:cs="Calibri"/>
          <w:bCs/>
        </w:rPr>
        <w:t xml:space="preserve">  Tanzania authorities, IMF, and World Bank preliminary estimates</w:t>
      </w:r>
    </w:p>
    <w:p w:rsidR="00DA05F0" w:rsidRPr="008138F9" w:rsidRDefault="00DA05F0" w:rsidP="003D7A2D">
      <w:pPr>
        <w:spacing w:after="0" w:line="240" w:lineRule="auto"/>
        <w:contextualSpacing/>
        <w:mirrorIndents/>
        <w:jc w:val="both"/>
        <w:rPr>
          <w:rFonts w:cs="Times New Roman"/>
          <w:sz w:val="24"/>
          <w:szCs w:val="24"/>
        </w:rPr>
      </w:pPr>
    </w:p>
    <w:p w:rsidR="00166FB8" w:rsidRPr="00BF0DCD" w:rsidRDefault="00166FB8" w:rsidP="00D04B40">
      <w:pPr>
        <w:numPr>
          <w:ilvl w:val="0"/>
          <w:numId w:val="30"/>
        </w:numPr>
        <w:tabs>
          <w:tab w:val="num" w:pos="720"/>
        </w:tabs>
        <w:spacing w:after="0" w:line="240" w:lineRule="auto"/>
        <w:ind w:left="0" w:firstLine="0"/>
        <w:contextualSpacing/>
        <w:mirrorIndents/>
        <w:jc w:val="both"/>
        <w:rPr>
          <w:rFonts w:cs="Times New Roman"/>
          <w:sz w:val="24"/>
          <w:szCs w:val="24"/>
        </w:rPr>
      </w:pPr>
      <w:r w:rsidRPr="00D622AA">
        <w:rPr>
          <w:rFonts w:cs="Times New Roman"/>
          <w:b/>
          <w:sz w:val="24"/>
          <w:szCs w:val="24"/>
        </w:rPr>
        <w:t xml:space="preserve">Inflation </w:t>
      </w:r>
      <w:r w:rsidRPr="008B1D34">
        <w:rPr>
          <w:rFonts w:cs="Times New Roman"/>
          <w:b/>
          <w:sz w:val="24"/>
          <w:szCs w:val="24"/>
        </w:rPr>
        <w:t xml:space="preserve">continues to steadily decelerate </w:t>
      </w:r>
      <w:r w:rsidR="009D363D" w:rsidRPr="008B1D34">
        <w:rPr>
          <w:rFonts w:cs="Times New Roman"/>
          <w:b/>
          <w:sz w:val="24"/>
          <w:szCs w:val="24"/>
        </w:rPr>
        <w:t>due</w:t>
      </w:r>
      <w:r w:rsidR="00912A91" w:rsidRPr="008B1D34">
        <w:rPr>
          <w:rFonts w:cs="Times New Roman"/>
          <w:b/>
          <w:sz w:val="24"/>
          <w:szCs w:val="24"/>
        </w:rPr>
        <w:t xml:space="preserve"> to</w:t>
      </w:r>
      <w:r w:rsidR="009D363D" w:rsidRPr="008B1D34">
        <w:rPr>
          <w:rFonts w:cs="Times New Roman"/>
          <w:b/>
          <w:sz w:val="24"/>
          <w:szCs w:val="24"/>
        </w:rPr>
        <w:t xml:space="preserve"> favorable food and energy prices in addition to the t</w:t>
      </w:r>
      <w:r w:rsidRPr="008B1D34">
        <w:rPr>
          <w:rFonts w:cs="Times New Roman"/>
          <w:b/>
          <w:sz w:val="24"/>
          <w:szCs w:val="24"/>
        </w:rPr>
        <w:t xml:space="preserve">ight monetary policy implemented by the </w:t>
      </w:r>
      <w:r w:rsidR="009D7D2C" w:rsidRPr="008B1D34">
        <w:rPr>
          <w:rFonts w:cs="Times New Roman"/>
          <w:b/>
          <w:sz w:val="24"/>
          <w:szCs w:val="24"/>
        </w:rPr>
        <w:t>Central Bank</w:t>
      </w:r>
      <w:r w:rsidRPr="008B1D34">
        <w:rPr>
          <w:rFonts w:cs="Times New Roman"/>
          <w:b/>
          <w:sz w:val="24"/>
          <w:szCs w:val="24"/>
        </w:rPr>
        <w:t xml:space="preserve">. </w:t>
      </w:r>
      <w:r w:rsidR="005F5ADD" w:rsidRPr="008B1D34">
        <w:rPr>
          <w:rFonts w:cs="Times New Roman"/>
          <w:b/>
          <w:sz w:val="24"/>
          <w:szCs w:val="24"/>
        </w:rPr>
        <w:t xml:space="preserve"> </w:t>
      </w:r>
      <w:r w:rsidRPr="008B1D34">
        <w:rPr>
          <w:rFonts w:cs="Times New Roman"/>
          <w:color w:val="000000"/>
          <w:sz w:val="24"/>
          <w:szCs w:val="24"/>
        </w:rPr>
        <w:t>The headline inflation declined to 6.</w:t>
      </w:r>
      <w:r w:rsidR="00912A4E">
        <w:rPr>
          <w:rFonts w:cs="Times New Roman"/>
          <w:color w:val="000000"/>
          <w:sz w:val="24"/>
          <w:szCs w:val="24"/>
        </w:rPr>
        <w:t>3</w:t>
      </w:r>
      <w:r w:rsidRPr="008B1D34">
        <w:rPr>
          <w:rFonts w:cs="Times New Roman"/>
          <w:color w:val="000000"/>
          <w:sz w:val="24"/>
          <w:szCs w:val="24"/>
        </w:rPr>
        <w:t xml:space="preserve"> percent in </w:t>
      </w:r>
      <w:r w:rsidR="00912A4E">
        <w:rPr>
          <w:rFonts w:cs="Times New Roman"/>
          <w:color w:val="000000"/>
          <w:sz w:val="24"/>
          <w:szCs w:val="24"/>
        </w:rPr>
        <w:t xml:space="preserve">October </w:t>
      </w:r>
      <w:r w:rsidR="00CF12C2">
        <w:rPr>
          <w:rFonts w:cs="Times New Roman"/>
          <w:color w:val="000000"/>
          <w:sz w:val="24"/>
          <w:szCs w:val="24"/>
        </w:rPr>
        <w:t xml:space="preserve">2013 (Figure 2). </w:t>
      </w:r>
      <w:r w:rsidRPr="008B1D34">
        <w:rPr>
          <w:rFonts w:cs="Times New Roman"/>
          <w:color w:val="000000"/>
          <w:sz w:val="24"/>
          <w:szCs w:val="24"/>
        </w:rPr>
        <w:t xml:space="preserve">Global energy prices have </w:t>
      </w:r>
      <w:r w:rsidR="00B56E09">
        <w:rPr>
          <w:rFonts w:cs="Times New Roman"/>
          <w:color w:val="000000"/>
          <w:sz w:val="24"/>
          <w:szCs w:val="24"/>
        </w:rPr>
        <w:t>a</w:t>
      </w:r>
      <w:r w:rsidRPr="008B1D34">
        <w:rPr>
          <w:rFonts w:cs="Times New Roman"/>
          <w:color w:val="000000"/>
          <w:sz w:val="24"/>
          <w:szCs w:val="24"/>
        </w:rPr>
        <w:t xml:space="preserve">lso declined, impacting on local energy prices, while local food prices have also decreased by a cumulative 6 percent since early 2012, thanks to better </w:t>
      </w:r>
      <w:r w:rsidR="009D7D2C" w:rsidRPr="008B1D34">
        <w:rPr>
          <w:rFonts w:cs="Times New Roman"/>
          <w:color w:val="000000"/>
          <w:sz w:val="24"/>
          <w:szCs w:val="24"/>
        </w:rPr>
        <w:t xml:space="preserve">domestic </w:t>
      </w:r>
      <w:r w:rsidRPr="008B1D34">
        <w:rPr>
          <w:rFonts w:cs="Times New Roman"/>
          <w:color w:val="000000"/>
          <w:sz w:val="24"/>
          <w:szCs w:val="24"/>
        </w:rPr>
        <w:t xml:space="preserve">harvest, higher level of food imports, and lower international food prices. </w:t>
      </w:r>
      <w:r w:rsidR="009D7D2C" w:rsidRPr="008B1D34">
        <w:rPr>
          <w:rFonts w:cs="Times New Roman"/>
          <w:color w:val="000000"/>
          <w:sz w:val="24"/>
          <w:szCs w:val="24"/>
        </w:rPr>
        <w:t>The decline</w:t>
      </w:r>
      <w:r w:rsidR="009D7D2C">
        <w:rPr>
          <w:rFonts w:cs="Times New Roman"/>
          <w:color w:val="000000"/>
          <w:sz w:val="24"/>
          <w:szCs w:val="24"/>
        </w:rPr>
        <w:t xml:space="preserve"> in the inflation rate has allowed stabilizing the real exchange rate, which had appreciated by over 20 percent in 2012.</w:t>
      </w:r>
    </w:p>
    <w:p w:rsidR="00FA45BA" w:rsidRPr="00D04B40" w:rsidRDefault="00B55063" w:rsidP="00D04B40">
      <w:pPr>
        <w:pStyle w:val="Caption"/>
        <w:spacing w:after="120"/>
        <w:rPr>
          <w:rFonts w:cs="Times New Roman"/>
          <w:color w:val="auto"/>
          <w:sz w:val="22"/>
          <w:szCs w:val="22"/>
        </w:rPr>
      </w:pPr>
      <w:r w:rsidRPr="00D04B40">
        <w:rPr>
          <w:color w:val="auto"/>
          <w:sz w:val="22"/>
          <w:szCs w:val="22"/>
        </w:rPr>
        <w:lastRenderedPageBreak/>
        <w:t xml:space="preserve">             </w:t>
      </w:r>
      <w:bookmarkStart w:id="2" w:name="_Ref372038503"/>
      <w:r w:rsidR="00D04B40" w:rsidRPr="00D04B40">
        <w:rPr>
          <w:color w:val="auto"/>
          <w:sz w:val="22"/>
          <w:szCs w:val="22"/>
        </w:rPr>
        <w:t xml:space="preserve">Figure </w:t>
      </w:r>
      <w:r w:rsidR="00D04B40" w:rsidRPr="00D04B40">
        <w:rPr>
          <w:color w:val="auto"/>
          <w:sz w:val="22"/>
          <w:szCs w:val="22"/>
        </w:rPr>
        <w:fldChar w:fldCharType="begin"/>
      </w:r>
      <w:r w:rsidR="00D04B40" w:rsidRPr="00D04B40">
        <w:rPr>
          <w:color w:val="auto"/>
          <w:sz w:val="22"/>
          <w:szCs w:val="22"/>
        </w:rPr>
        <w:instrText xml:space="preserve"> SEQ Figure \* ARABIC </w:instrText>
      </w:r>
      <w:r w:rsidR="00D04B40" w:rsidRPr="00D04B40">
        <w:rPr>
          <w:color w:val="auto"/>
          <w:sz w:val="22"/>
          <w:szCs w:val="22"/>
        </w:rPr>
        <w:fldChar w:fldCharType="separate"/>
      </w:r>
      <w:r w:rsidR="005B207F">
        <w:rPr>
          <w:noProof/>
          <w:color w:val="auto"/>
          <w:sz w:val="22"/>
          <w:szCs w:val="22"/>
        </w:rPr>
        <w:t>1</w:t>
      </w:r>
      <w:r w:rsidR="00D04B40" w:rsidRPr="00D04B40">
        <w:rPr>
          <w:color w:val="auto"/>
          <w:sz w:val="22"/>
          <w:szCs w:val="22"/>
        </w:rPr>
        <w:fldChar w:fldCharType="end"/>
      </w:r>
      <w:bookmarkEnd w:id="2"/>
      <w:r w:rsidRPr="00D04B40">
        <w:rPr>
          <w:color w:val="auto"/>
          <w:sz w:val="22"/>
          <w:szCs w:val="22"/>
        </w:rPr>
        <w:t xml:space="preserve">: Real </w:t>
      </w:r>
      <w:r w:rsidRPr="00B55063">
        <w:rPr>
          <w:color w:val="auto"/>
          <w:sz w:val="22"/>
          <w:szCs w:val="22"/>
        </w:rPr>
        <w:t xml:space="preserve">GDP </w:t>
      </w:r>
      <w:r>
        <w:rPr>
          <w:color w:val="auto"/>
          <w:sz w:val="22"/>
          <w:szCs w:val="22"/>
        </w:rPr>
        <w:t>growth trends</w:t>
      </w:r>
      <w:r>
        <w:rPr>
          <w:color w:val="auto"/>
          <w:sz w:val="22"/>
          <w:szCs w:val="22"/>
        </w:rPr>
        <w:tab/>
        <w:t xml:space="preserve">                </w:t>
      </w:r>
      <w:r w:rsidRPr="00B55063">
        <w:rPr>
          <w:color w:val="auto"/>
          <w:sz w:val="22"/>
          <w:szCs w:val="22"/>
        </w:rPr>
        <w:t xml:space="preserve">  </w:t>
      </w:r>
      <w:r w:rsidR="00D04B40" w:rsidRPr="00D04B40">
        <w:rPr>
          <w:color w:val="auto"/>
          <w:sz w:val="22"/>
          <w:szCs w:val="22"/>
        </w:rPr>
        <w:t xml:space="preserve">Figure </w:t>
      </w:r>
      <w:r w:rsidR="00D04B40" w:rsidRPr="00D04B40">
        <w:rPr>
          <w:color w:val="auto"/>
          <w:sz w:val="22"/>
          <w:szCs w:val="22"/>
        </w:rPr>
        <w:fldChar w:fldCharType="begin"/>
      </w:r>
      <w:r w:rsidR="00D04B40" w:rsidRPr="00D04B40">
        <w:rPr>
          <w:color w:val="auto"/>
          <w:sz w:val="22"/>
          <w:szCs w:val="22"/>
        </w:rPr>
        <w:instrText xml:space="preserve"> SEQ Figure \* ARABIC </w:instrText>
      </w:r>
      <w:r w:rsidR="00D04B40" w:rsidRPr="00D04B40">
        <w:rPr>
          <w:color w:val="auto"/>
          <w:sz w:val="22"/>
          <w:szCs w:val="22"/>
        </w:rPr>
        <w:fldChar w:fldCharType="separate"/>
      </w:r>
      <w:r w:rsidR="005B207F">
        <w:rPr>
          <w:noProof/>
          <w:color w:val="auto"/>
          <w:sz w:val="22"/>
          <w:szCs w:val="22"/>
        </w:rPr>
        <w:t>2</w:t>
      </w:r>
      <w:r w:rsidR="00D04B40" w:rsidRPr="00D04B40">
        <w:rPr>
          <w:color w:val="auto"/>
          <w:sz w:val="22"/>
          <w:szCs w:val="22"/>
        </w:rPr>
        <w:fldChar w:fldCharType="end"/>
      </w:r>
      <w:r w:rsidRPr="00D04B40">
        <w:rPr>
          <w:color w:val="auto"/>
          <w:sz w:val="22"/>
          <w:szCs w:val="22"/>
        </w:rPr>
        <w:t>: Inflation trends</w:t>
      </w:r>
    </w:p>
    <w:p w:rsidR="006A7A15" w:rsidRDefault="00D04B40" w:rsidP="005C6D07">
      <w:pPr>
        <w:pStyle w:val="Caption"/>
        <w:spacing w:after="0"/>
        <w:rPr>
          <w:rFonts w:cs="Times New Roman"/>
          <w:color w:val="auto"/>
          <w:sz w:val="22"/>
          <w:szCs w:val="22"/>
        </w:rPr>
      </w:pPr>
      <w:bookmarkStart w:id="3" w:name="_Ref371661551"/>
      <w:r w:rsidRPr="00D04B40">
        <w:rPr>
          <w:noProof/>
        </w:rPr>
        <w:drawing>
          <wp:inline distT="0" distB="0" distL="0" distR="0" wp14:anchorId="6946D56C" wp14:editId="5D7676BC">
            <wp:extent cx="2954867" cy="238196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65968" cy="2390911"/>
                    </a:xfrm>
                    <a:prstGeom prst="rect">
                      <a:avLst/>
                    </a:prstGeom>
                    <a:noFill/>
                    <a:ln>
                      <a:noFill/>
                    </a:ln>
                  </pic:spPr>
                </pic:pic>
              </a:graphicData>
            </a:graphic>
          </wp:inline>
        </w:drawing>
      </w:r>
      <w:r w:rsidR="00FA45BA">
        <w:rPr>
          <w:rFonts w:cs="Times New Roman"/>
          <w:color w:val="auto"/>
          <w:sz w:val="22"/>
          <w:szCs w:val="22"/>
        </w:rPr>
        <w:t xml:space="preserve">  </w:t>
      </w:r>
      <w:bookmarkEnd w:id="3"/>
      <w:r w:rsidR="009E5864" w:rsidRPr="009E5864">
        <w:rPr>
          <w:noProof/>
        </w:rPr>
        <w:drawing>
          <wp:inline distT="0" distB="0" distL="0" distR="0" wp14:anchorId="24B5F6B8" wp14:editId="73C6C450">
            <wp:extent cx="2700867" cy="240077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5368" cy="2404771"/>
                    </a:xfrm>
                    <a:prstGeom prst="rect">
                      <a:avLst/>
                    </a:prstGeom>
                    <a:noFill/>
                    <a:ln>
                      <a:noFill/>
                    </a:ln>
                  </pic:spPr>
                </pic:pic>
              </a:graphicData>
            </a:graphic>
          </wp:inline>
        </w:drawing>
      </w:r>
    </w:p>
    <w:p w:rsidR="005C6D07" w:rsidRDefault="005C6D07" w:rsidP="005C6D07">
      <w:pPr>
        <w:spacing w:after="0" w:line="240" w:lineRule="auto"/>
        <w:rPr>
          <w:rFonts w:cs="Calibri"/>
          <w:bCs/>
        </w:rPr>
      </w:pPr>
      <w:r>
        <w:rPr>
          <w:rFonts w:cs="Calibri"/>
          <w:bCs/>
        </w:rPr>
        <w:t>Source:  Tanzania authorities and World Bank preliminary estimates</w:t>
      </w:r>
    </w:p>
    <w:p w:rsidR="005C6D07" w:rsidRPr="005C6D07" w:rsidRDefault="005C6D07" w:rsidP="005C6D07">
      <w:pPr>
        <w:spacing w:after="0" w:line="240" w:lineRule="auto"/>
      </w:pPr>
    </w:p>
    <w:p w:rsidR="00D45EF5" w:rsidRPr="008138F9" w:rsidRDefault="00D45EF5" w:rsidP="00601605">
      <w:pPr>
        <w:numPr>
          <w:ilvl w:val="0"/>
          <w:numId w:val="30"/>
        </w:numPr>
        <w:tabs>
          <w:tab w:val="num" w:pos="720"/>
        </w:tabs>
        <w:spacing w:after="0" w:line="240" w:lineRule="auto"/>
        <w:ind w:left="0" w:firstLine="0"/>
        <w:contextualSpacing/>
        <w:mirrorIndents/>
        <w:jc w:val="both"/>
        <w:rPr>
          <w:rFonts w:cs="Times New Roman"/>
          <w:sz w:val="24"/>
          <w:szCs w:val="24"/>
        </w:rPr>
      </w:pPr>
      <w:r w:rsidRPr="008138F9">
        <w:rPr>
          <w:rFonts w:cs="Times New Roman"/>
          <w:b/>
          <w:sz w:val="24"/>
          <w:szCs w:val="24"/>
        </w:rPr>
        <w:t xml:space="preserve">Monetary policy remained tight </w:t>
      </w:r>
      <w:r w:rsidR="00912A91">
        <w:rPr>
          <w:rFonts w:cs="Times New Roman"/>
          <w:b/>
          <w:sz w:val="24"/>
          <w:szCs w:val="24"/>
        </w:rPr>
        <w:t>although there was</w:t>
      </w:r>
      <w:r w:rsidR="00912A91" w:rsidRPr="008138F9">
        <w:rPr>
          <w:rFonts w:cs="Times New Roman"/>
          <w:b/>
          <w:sz w:val="24"/>
          <w:szCs w:val="24"/>
        </w:rPr>
        <w:t xml:space="preserve"> </w:t>
      </w:r>
      <w:r w:rsidRPr="008138F9">
        <w:rPr>
          <w:rFonts w:cs="Times New Roman"/>
          <w:b/>
          <w:sz w:val="24"/>
          <w:szCs w:val="24"/>
        </w:rPr>
        <w:t>increased growth of extended broad money supply towards the end of FY2012/13</w:t>
      </w:r>
      <w:r w:rsidRPr="008138F9">
        <w:rPr>
          <w:rFonts w:cs="Times New Roman"/>
          <w:sz w:val="24"/>
          <w:szCs w:val="24"/>
        </w:rPr>
        <w:t xml:space="preserve">. </w:t>
      </w:r>
      <w:r w:rsidR="005F5ADD" w:rsidRPr="008138F9">
        <w:rPr>
          <w:rFonts w:cs="Times New Roman"/>
          <w:sz w:val="24"/>
          <w:szCs w:val="24"/>
        </w:rPr>
        <w:t xml:space="preserve"> </w:t>
      </w:r>
      <w:r w:rsidR="009D363D" w:rsidRPr="008138F9">
        <w:rPr>
          <w:rFonts w:cs="Times New Roman"/>
          <w:sz w:val="24"/>
          <w:szCs w:val="24"/>
        </w:rPr>
        <w:t>Broad m</w:t>
      </w:r>
      <w:r w:rsidR="009D363D" w:rsidRPr="008138F9">
        <w:rPr>
          <w:rFonts w:cs="Times New Roman"/>
          <w:color w:val="000000"/>
          <w:sz w:val="24"/>
          <w:szCs w:val="24"/>
        </w:rPr>
        <w:t>onetary expansion (M3) which ha</w:t>
      </w:r>
      <w:r w:rsidR="00912A91">
        <w:rPr>
          <w:rFonts w:cs="Times New Roman"/>
          <w:color w:val="000000"/>
          <w:sz w:val="24"/>
          <w:szCs w:val="24"/>
        </w:rPr>
        <w:t>s</w:t>
      </w:r>
      <w:r w:rsidR="009D363D" w:rsidRPr="008138F9">
        <w:rPr>
          <w:rFonts w:cs="Times New Roman"/>
          <w:color w:val="000000"/>
          <w:sz w:val="24"/>
          <w:szCs w:val="24"/>
        </w:rPr>
        <w:t xml:space="preserve"> fallen</w:t>
      </w:r>
      <w:r w:rsidR="000269A5" w:rsidRPr="008138F9">
        <w:rPr>
          <w:rFonts w:cs="Times New Roman"/>
          <w:color w:val="000000"/>
          <w:sz w:val="24"/>
          <w:szCs w:val="24"/>
        </w:rPr>
        <w:t xml:space="preserve"> less than 13 percent in June 2012 rose to more than 17 percent by July 2013 due to increased net credit to the Government, which amounted to Tsh 1,240 billion (equivalent to about 2.6 percent of GDP).</w:t>
      </w:r>
      <w:r w:rsidR="00AB4D20">
        <w:rPr>
          <w:rFonts w:cs="Times New Roman"/>
          <w:color w:val="000000"/>
          <w:sz w:val="24"/>
          <w:szCs w:val="24"/>
        </w:rPr>
        <w:t xml:space="preserve"> But this declined again in August and September 2013 although overdraft increased towards the end of October 2013. T</w:t>
      </w:r>
      <w:r w:rsidR="000269A5" w:rsidRPr="008138F9">
        <w:rPr>
          <w:rFonts w:cs="Times New Roman"/>
          <w:color w:val="000000"/>
          <w:sz w:val="24"/>
          <w:szCs w:val="24"/>
        </w:rPr>
        <w:t>he growth of net credit to</w:t>
      </w:r>
      <w:r w:rsidR="00912A91">
        <w:rPr>
          <w:rFonts w:cs="Times New Roman"/>
          <w:color w:val="000000"/>
          <w:sz w:val="24"/>
          <w:szCs w:val="24"/>
        </w:rPr>
        <w:t xml:space="preserve"> the</w:t>
      </w:r>
      <w:r w:rsidR="000269A5" w:rsidRPr="008138F9">
        <w:rPr>
          <w:rFonts w:cs="Times New Roman"/>
          <w:color w:val="000000"/>
          <w:sz w:val="24"/>
          <w:szCs w:val="24"/>
        </w:rPr>
        <w:t xml:space="preserve"> private sector slowed </w:t>
      </w:r>
      <w:r w:rsidR="009D7D2C">
        <w:rPr>
          <w:rFonts w:cs="Times New Roman"/>
          <w:color w:val="000000"/>
          <w:sz w:val="24"/>
          <w:szCs w:val="24"/>
        </w:rPr>
        <w:t xml:space="preserve">down </w:t>
      </w:r>
      <w:r w:rsidR="000269A5" w:rsidRPr="008138F9">
        <w:rPr>
          <w:rFonts w:cs="Times New Roman"/>
          <w:color w:val="000000"/>
          <w:sz w:val="24"/>
          <w:szCs w:val="24"/>
        </w:rPr>
        <w:t xml:space="preserve">during the same </w:t>
      </w:r>
      <w:r w:rsidR="00F8698B" w:rsidRPr="008138F9">
        <w:rPr>
          <w:rFonts w:cs="Times New Roman"/>
          <w:color w:val="000000"/>
          <w:sz w:val="24"/>
          <w:szCs w:val="24"/>
        </w:rPr>
        <w:t>period</w:t>
      </w:r>
      <w:r w:rsidR="000269A5" w:rsidRPr="008138F9">
        <w:rPr>
          <w:rFonts w:cs="Times New Roman"/>
          <w:color w:val="000000"/>
          <w:sz w:val="24"/>
          <w:szCs w:val="24"/>
        </w:rPr>
        <w:t xml:space="preserve">, </w:t>
      </w:r>
      <w:r w:rsidR="00F8698B" w:rsidRPr="008138F9">
        <w:rPr>
          <w:rFonts w:cs="Times New Roman"/>
          <w:color w:val="000000"/>
          <w:sz w:val="24"/>
          <w:szCs w:val="24"/>
        </w:rPr>
        <w:t xml:space="preserve">declining to </w:t>
      </w:r>
      <w:r w:rsidR="000269A5" w:rsidRPr="008138F9">
        <w:rPr>
          <w:rFonts w:cs="Times New Roman"/>
          <w:color w:val="000000"/>
          <w:sz w:val="24"/>
          <w:szCs w:val="24"/>
        </w:rPr>
        <w:t>1</w:t>
      </w:r>
      <w:r w:rsidR="007D74D1">
        <w:rPr>
          <w:rFonts w:cs="Times New Roman"/>
          <w:color w:val="000000"/>
          <w:sz w:val="24"/>
          <w:szCs w:val="24"/>
        </w:rPr>
        <w:t>5</w:t>
      </w:r>
      <w:r w:rsidR="00F8698B" w:rsidRPr="008138F9">
        <w:rPr>
          <w:rFonts w:cs="Times New Roman"/>
          <w:color w:val="000000"/>
          <w:sz w:val="24"/>
          <w:szCs w:val="24"/>
        </w:rPr>
        <w:t xml:space="preserve"> </w:t>
      </w:r>
      <w:r w:rsidR="000269A5" w:rsidRPr="008138F9">
        <w:rPr>
          <w:rFonts w:cs="Times New Roman"/>
          <w:color w:val="000000"/>
          <w:sz w:val="24"/>
          <w:szCs w:val="24"/>
        </w:rPr>
        <w:t xml:space="preserve">percent in </w:t>
      </w:r>
      <w:r w:rsidR="007D74D1">
        <w:rPr>
          <w:rFonts w:cs="Times New Roman"/>
          <w:color w:val="000000"/>
          <w:sz w:val="24"/>
          <w:szCs w:val="24"/>
        </w:rPr>
        <w:t xml:space="preserve">September </w:t>
      </w:r>
      <w:r w:rsidR="000269A5" w:rsidRPr="008138F9">
        <w:rPr>
          <w:rFonts w:cs="Times New Roman"/>
          <w:color w:val="000000"/>
          <w:sz w:val="24"/>
          <w:szCs w:val="24"/>
        </w:rPr>
        <w:t xml:space="preserve">2013 </w:t>
      </w:r>
      <w:r w:rsidR="00F8698B" w:rsidRPr="008138F9">
        <w:rPr>
          <w:rFonts w:cs="Times New Roman"/>
          <w:color w:val="000000"/>
          <w:sz w:val="24"/>
          <w:szCs w:val="24"/>
        </w:rPr>
        <w:t xml:space="preserve">from 20 percent in </w:t>
      </w:r>
      <w:r w:rsidR="000269A5" w:rsidRPr="008138F9">
        <w:rPr>
          <w:rFonts w:cs="Times New Roman"/>
          <w:color w:val="000000"/>
          <w:sz w:val="24"/>
          <w:szCs w:val="24"/>
        </w:rPr>
        <w:t>July 2012</w:t>
      </w:r>
      <w:r w:rsidR="009F24E8" w:rsidRPr="008138F9">
        <w:rPr>
          <w:rFonts w:cs="Times New Roman"/>
          <w:color w:val="000000"/>
          <w:sz w:val="24"/>
          <w:szCs w:val="24"/>
        </w:rPr>
        <w:t xml:space="preserve">, on account of </w:t>
      </w:r>
      <w:r w:rsidR="00912A91">
        <w:rPr>
          <w:rFonts w:cs="Times New Roman"/>
          <w:color w:val="000000"/>
          <w:sz w:val="24"/>
          <w:szCs w:val="24"/>
        </w:rPr>
        <w:t xml:space="preserve">a </w:t>
      </w:r>
      <w:r w:rsidR="009F24E8" w:rsidRPr="008138F9">
        <w:rPr>
          <w:rFonts w:cs="Times New Roman"/>
          <w:color w:val="000000"/>
          <w:sz w:val="24"/>
          <w:szCs w:val="24"/>
        </w:rPr>
        <w:t>sustained fall in holdings of NFAs of banks</w:t>
      </w:r>
      <w:r w:rsidR="009D7D2C">
        <w:rPr>
          <w:rFonts w:cs="Times New Roman"/>
          <w:color w:val="000000"/>
          <w:sz w:val="24"/>
          <w:szCs w:val="24"/>
        </w:rPr>
        <w:t xml:space="preserve"> as well as of rising real interest rates</w:t>
      </w:r>
      <w:r w:rsidR="00F8698B" w:rsidRPr="008138F9">
        <w:rPr>
          <w:rFonts w:cs="Times New Roman"/>
          <w:color w:val="000000"/>
          <w:sz w:val="24"/>
          <w:szCs w:val="24"/>
        </w:rPr>
        <w:t>.</w:t>
      </w:r>
      <w:r w:rsidR="00A0308C" w:rsidRPr="008138F9">
        <w:rPr>
          <w:rFonts w:cs="Times New Roman"/>
          <w:color w:val="000000"/>
          <w:sz w:val="24"/>
          <w:szCs w:val="24"/>
        </w:rPr>
        <w:t xml:space="preserve"> </w:t>
      </w:r>
    </w:p>
    <w:p w:rsidR="00E47752" w:rsidRPr="008138F9" w:rsidRDefault="00E47752" w:rsidP="00601605">
      <w:pPr>
        <w:spacing w:after="0" w:line="240" w:lineRule="auto"/>
        <w:contextualSpacing/>
        <w:mirrorIndents/>
        <w:jc w:val="both"/>
        <w:rPr>
          <w:rFonts w:cs="Times New Roman"/>
          <w:sz w:val="24"/>
          <w:szCs w:val="24"/>
        </w:rPr>
      </w:pPr>
    </w:p>
    <w:p w:rsidR="00986689" w:rsidRPr="006E5BAA" w:rsidRDefault="00986689" w:rsidP="00601605">
      <w:pPr>
        <w:numPr>
          <w:ilvl w:val="0"/>
          <w:numId w:val="30"/>
        </w:numPr>
        <w:tabs>
          <w:tab w:val="num" w:pos="720"/>
        </w:tabs>
        <w:spacing w:after="0" w:line="240" w:lineRule="auto"/>
        <w:ind w:left="0" w:firstLine="0"/>
        <w:contextualSpacing/>
        <w:mirrorIndents/>
        <w:jc w:val="both"/>
        <w:rPr>
          <w:rFonts w:cs="Times New Roman"/>
          <w:sz w:val="24"/>
          <w:szCs w:val="24"/>
        </w:rPr>
      </w:pPr>
      <w:r w:rsidRPr="006E5BAA">
        <w:rPr>
          <w:rFonts w:cs="Times New Roman"/>
          <w:b/>
          <w:sz w:val="24"/>
          <w:szCs w:val="24"/>
        </w:rPr>
        <w:t xml:space="preserve">External </w:t>
      </w:r>
      <w:r w:rsidR="009D7D2C" w:rsidRPr="006E5BAA">
        <w:rPr>
          <w:rFonts w:cs="Times New Roman"/>
          <w:b/>
          <w:sz w:val="24"/>
          <w:szCs w:val="24"/>
        </w:rPr>
        <w:t>im</w:t>
      </w:r>
      <w:r w:rsidRPr="006E5BAA">
        <w:rPr>
          <w:rFonts w:cs="Times New Roman"/>
          <w:b/>
          <w:sz w:val="24"/>
          <w:szCs w:val="24"/>
        </w:rPr>
        <w:t>balance</w:t>
      </w:r>
      <w:r w:rsidR="009D7D2C" w:rsidRPr="006E5BAA">
        <w:rPr>
          <w:rFonts w:cs="Times New Roman"/>
          <w:b/>
          <w:sz w:val="24"/>
          <w:szCs w:val="24"/>
        </w:rPr>
        <w:t xml:space="preserve"> improved as </w:t>
      </w:r>
      <w:r w:rsidR="006E5BAA" w:rsidRPr="006E5BAA">
        <w:rPr>
          <w:rFonts w:cs="Times New Roman"/>
          <w:b/>
          <w:sz w:val="24"/>
          <w:szCs w:val="24"/>
        </w:rPr>
        <w:t>the current</w:t>
      </w:r>
      <w:r w:rsidR="00A960C2" w:rsidRPr="006E5BAA">
        <w:rPr>
          <w:rFonts w:cs="Times New Roman"/>
          <w:b/>
          <w:sz w:val="24"/>
          <w:szCs w:val="24"/>
        </w:rPr>
        <w:t xml:space="preserve"> account deficit </w:t>
      </w:r>
      <w:r w:rsidR="009D7D2C" w:rsidRPr="006E5BAA">
        <w:rPr>
          <w:rFonts w:cs="Times New Roman"/>
          <w:b/>
          <w:sz w:val="24"/>
          <w:szCs w:val="24"/>
        </w:rPr>
        <w:t xml:space="preserve">declined to 13.9 percent of </w:t>
      </w:r>
      <w:r w:rsidR="006E5BAA" w:rsidRPr="006E5BAA">
        <w:rPr>
          <w:rFonts w:cs="Times New Roman"/>
          <w:b/>
          <w:sz w:val="24"/>
          <w:szCs w:val="24"/>
        </w:rPr>
        <w:t>GDP by</w:t>
      </w:r>
      <w:r w:rsidR="00C87A70" w:rsidRPr="006E5BAA">
        <w:rPr>
          <w:rFonts w:cs="Times New Roman"/>
          <w:b/>
          <w:sz w:val="24"/>
          <w:szCs w:val="24"/>
        </w:rPr>
        <w:t xml:space="preserve"> June 2013</w:t>
      </w:r>
      <w:r w:rsidR="00A960C2" w:rsidRPr="006E5BAA">
        <w:rPr>
          <w:rFonts w:cs="Times New Roman"/>
          <w:b/>
          <w:sz w:val="24"/>
          <w:szCs w:val="24"/>
        </w:rPr>
        <w:t xml:space="preserve">. </w:t>
      </w:r>
      <w:r w:rsidR="00C87A70" w:rsidRPr="006E5BAA">
        <w:rPr>
          <w:rFonts w:cs="Times New Roman"/>
          <w:b/>
          <w:sz w:val="24"/>
          <w:szCs w:val="24"/>
        </w:rPr>
        <w:t xml:space="preserve"> </w:t>
      </w:r>
      <w:r w:rsidRPr="006E5BAA">
        <w:rPr>
          <w:rFonts w:cs="Times New Roman"/>
          <w:color w:val="000000"/>
          <w:sz w:val="24"/>
          <w:szCs w:val="24"/>
        </w:rPr>
        <w:t xml:space="preserve">The </w:t>
      </w:r>
      <w:r w:rsidR="00D2393B" w:rsidRPr="006E5BAA">
        <w:rPr>
          <w:rFonts w:cs="Times New Roman"/>
          <w:color w:val="000000"/>
          <w:sz w:val="24"/>
          <w:szCs w:val="24"/>
        </w:rPr>
        <w:t xml:space="preserve">overall balance of payment recorded </w:t>
      </w:r>
      <w:r w:rsidR="009C6676" w:rsidRPr="006E5BAA">
        <w:rPr>
          <w:rFonts w:cs="Times New Roman"/>
          <w:color w:val="000000"/>
          <w:sz w:val="24"/>
          <w:szCs w:val="24"/>
        </w:rPr>
        <w:t xml:space="preserve">a </w:t>
      </w:r>
      <w:r w:rsidR="00D2393B" w:rsidRPr="006E5BAA">
        <w:rPr>
          <w:rFonts w:cs="Times New Roman"/>
          <w:color w:val="000000"/>
          <w:sz w:val="24"/>
          <w:szCs w:val="24"/>
        </w:rPr>
        <w:t>surplus of about USD 450 million</w:t>
      </w:r>
      <w:r w:rsidR="009D16DC" w:rsidRPr="006E5BAA">
        <w:rPr>
          <w:rFonts w:cs="Times New Roman"/>
          <w:color w:val="000000"/>
          <w:sz w:val="24"/>
          <w:szCs w:val="24"/>
        </w:rPr>
        <w:t xml:space="preserve">, which led to an </w:t>
      </w:r>
      <w:r w:rsidR="006E5BAA" w:rsidRPr="006E5BAA">
        <w:rPr>
          <w:rFonts w:cs="Times New Roman"/>
          <w:color w:val="000000"/>
          <w:sz w:val="24"/>
          <w:szCs w:val="24"/>
        </w:rPr>
        <w:t>increase in</w:t>
      </w:r>
      <w:r w:rsidR="009D16DC" w:rsidRPr="006E5BAA">
        <w:rPr>
          <w:rFonts w:cs="Times New Roman"/>
          <w:color w:val="000000"/>
          <w:sz w:val="24"/>
          <w:szCs w:val="24"/>
        </w:rPr>
        <w:t xml:space="preserve"> </w:t>
      </w:r>
      <w:r w:rsidR="00D2393B" w:rsidRPr="006E5BAA">
        <w:rPr>
          <w:rFonts w:cs="Times New Roman"/>
          <w:color w:val="000000"/>
          <w:sz w:val="24"/>
          <w:szCs w:val="24"/>
        </w:rPr>
        <w:t>gross official reserves to about USD 4,350 million</w:t>
      </w:r>
      <w:r w:rsidR="009D7D2C" w:rsidRPr="006E5BAA">
        <w:rPr>
          <w:rFonts w:cs="Times New Roman"/>
          <w:color w:val="000000"/>
          <w:sz w:val="24"/>
          <w:szCs w:val="24"/>
        </w:rPr>
        <w:t>.</w:t>
      </w:r>
      <w:r w:rsidR="00D2393B" w:rsidRPr="006E5BAA">
        <w:rPr>
          <w:rFonts w:cs="Times New Roman"/>
          <w:color w:val="000000"/>
          <w:sz w:val="24"/>
          <w:szCs w:val="24"/>
        </w:rPr>
        <w:t xml:space="preserve"> The </w:t>
      </w:r>
      <w:r w:rsidRPr="006E5BAA">
        <w:rPr>
          <w:rFonts w:cs="Times New Roman"/>
          <w:color w:val="000000"/>
          <w:sz w:val="24"/>
          <w:szCs w:val="24"/>
        </w:rPr>
        <w:t xml:space="preserve">current account deficit </w:t>
      </w:r>
      <w:r w:rsidR="00D2393B" w:rsidRPr="006E5BAA">
        <w:rPr>
          <w:rFonts w:cs="Times New Roman"/>
          <w:color w:val="000000"/>
          <w:sz w:val="24"/>
          <w:szCs w:val="24"/>
        </w:rPr>
        <w:t xml:space="preserve">narrowed </w:t>
      </w:r>
      <w:r w:rsidR="00912A91" w:rsidRPr="006E5BAA">
        <w:rPr>
          <w:rFonts w:cs="Times New Roman"/>
          <w:color w:val="000000"/>
          <w:sz w:val="24"/>
          <w:szCs w:val="24"/>
        </w:rPr>
        <w:t xml:space="preserve">by </w:t>
      </w:r>
      <w:r w:rsidR="00D2393B" w:rsidRPr="006E5BAA">
        <w:rPr>
          <w:rFonts w:cs="Times New Roman"/>
          <w:color w:val="000000"/>
          <w:sz w:val="24"/>
          <w:szCs w:val="24"/>
        </w:rPr>
        <w:t xml:space="preserve">2.2 percent </w:t>
      </w:r>
      <w:r w:rsidR="009D7D2C" w:rsidRPr="006E5BAA">
        <w:rPr>
          <w:rFonts w:cs="Times New Roman"/>
          <w:color w:val="000000"/>
          <w:sz w:val="24"/>
          <w:szCs w:val="24"/>
        </w:rPr>
        <w:t xml:space="preserve">of GDP </w:t>
      </w:r>
      <w:r w:rsidR="00C0401C" w:rsidRPr="006E5BAA">
        <w:rPr>
          <w:rFonts w:cs="Times New Roman"/>
          <w:color w:val="000000"/>
          <w:sz w:val="24"/>
          <w:szCs w:val="24"/>
        </w:rPr>
        <w:t xml:space="preserve">to around 14 percent as </w:t>
      </w:r>
      <w:r w:rsidR="00912A91" w:rsidRPr="006E5BAA">
        <w:rPr>
          <w:rFonts w:cs="Times New Roman"/>
          <w:color w:val="000000"/>
          <w:sz w:val="24"/>
          <w:szCs w:val="24"/>
        </w:rPr>
        <w:t xml:space="preserve">the </w:t>
      </w:r>
      <w:r w:rsidR="00C0401C" w:rsidRPr="006E5BAA">
        <w:rPr>
          <w:rFonts w:cs="Times New Roman"/>
          <w:color w:val="000000"/>
          <w:sz w:val="24"/>
          <w:szCs w:val="24"/>
        </w:rPr>
        <w:t>result</w:t>
      </w:r>
      <w:r w:rsidR="00912A91" w:rsidRPr="006E5BAA">
        <w:rPr>
          <w:rFonts w:cs="Times New Roman"/>
          <w:color w:val="000000"/>
          <w:sz w:val="24"/>
          <w:szCs w:val="24"/>
        </w:rPr>
        <w:t xml:space="preserve"> of</w:t>
      </w:r>
      <w:r w:rsidR="00C0401C" w:rsidRPr="006E5BAA">
        <w:rPr>
          <w:rFonts w:cs="Times New Roman"/>
          <w:color w:val="000000"/>
          <w:sz w:val="24"/>
          <w:szCs w:val="24"/>
        </w:rPr>
        <w:t xml:space="preserve"> </w:t>
      </w:r>
      <w:r w:rsidR="009D16DC" w:rsidRPr="006E5BAA">
        <w:rPr>
          <w:rFonts w:cs="Times New Roman"/>
          <w:color w:val="000000"/>
          <w:sz w:val="24"/>
          <w:szCs w:val="24"/>
        </w:rPr>
        <w:t xml:space="preserve">the </w:t>
      </w:r>
      <w:r w:rsidR="00C0401C" w:rsidRPr="006E5BAA">
        <w:rPr>
          <w:rFonts w:cs="Times New Roman"/>
          <w:color w:val="000000"/>
          <w:sz w:val="24"/>
          <w:szCs w:val="24"/>
        </w:rPr>
        <w:t xml:space="preserve">good performance in exports </w:t>
      </w:r>
      <w:r w:rsidR="009D16DC" w:rsidRPr="006E5BAA">
        <w:rPr>
          <w:rFonts w:cs="Times New Roman"/>
          <w:color w:val="000000"/>
          <w:sz w:val="24"/>
          <w:szCs w:val="24"/>
        </w:rPr>
        <w:t xml:space="preserve">and slower import growth. </w:t>
      </w:r>
      <w:r w:rsidR="00C0401C" w:rsidRPr="006E5BAA">
        <w:rPr>
          <w:rFonts w:cs="Times New Roman"/>
          <w:color w:val="000000"/>
          <w:sz w:val="24"/>
          <w:szCs w:val="24"/>
        </w:rPr>
        <w:t xml:space="preserve"> </w:t>
      </w:r>
      <w:r w:rsidR="00B23915" w:rsidRPr="006E5BAA">
        <w:rPr>
          <w:rFonts w:cs="Times New Roman"/>
          <w:color w:val="000000"/>
          <w:sz w:val="24"/>
          <w:szCs w:val="24"/>
        </w:rPr>
        <w:t>The volume of gold export declined by about 10 percent while the unit price of gold export</w:t>
      </w:r>
      <w:r w:rsidR="00912A91" w:rsidRPr="006E5BAA">
        <w:rPr>
          <w:rFonts w:cs="Times New Roman"/>
          <w:color w:val="000000"/>
          <w:sz w:val="24"/>
          <w:szCs w:val="24"/>
        </w:rPr>
        <w:t>s</w:t>
      </w:r>
      <w:r w:rsidR="00B23915" w:rsidRPr="006E5BAA">
        <w:rPr>
          <w:rFonts w:cs="Times New Roman"/>
          <w:color w:val="000000"/>
          <w:sz w:val="24"/>
          <w:szCs w:val="24"/>
        </w:rPr>
        <w:t xml:space="preserve"> declined </w:t>
      </w:r>
      <w:r w:rsidR="009373F4" w:rsidRPr="006E5BAA">
        <w:rPr>
          <w:rFonts w:cs="Times New Roman"/>
          <w:color w:val="000000"/>
          <w:sz w:val="24"/>
          <w:szCs w:val="24"/>
        </w:rPr>
        <w:t>3.6</w:t>
      </w:r>
      <w:r w:rsidR="00412801" w:rsidRPr="006E5BAA">
        <w:rPr>
          <w:rFonts w:cs="Times New Roman"/>
          <w:color w:val="000000"/>
          <w:sz w:val="24"/>
          <w:szCs w:val="24"/>
        </w:rPr>
        <w:t xml:space="preserve"> percent</w:t>
      </w:r>
      <w:r w:rsidR="009373F4" w:rsidRPr="006E5BAA">
        <w:rPr>
          <w:rFonts w:cs="Times New Roman"/>
          <w:color w:val="000000"/>
          <w:sz w:val="24"/>
          <w:szCs w:val="24"/>
        </w:rPr>
        <w:t xml:space="preserve"> by June 2013 compared to June 2012.</w:t>
      </w:r>
      <w:r w:rsidR="002D1A1F">
        <w:rPr>
          <w:rFonts w:cs="Times New Roman"/>
          <w:color w:val="000000"/>
          <w:sz w:val="24"/>
          <w:szCs w:val="24"/>
        </w:rPr>
        <w:t xml:space="preserve"> However, in recent months exports have declined,</w:t>
      </w:r>
      <w:r w:rsidR="00CB3AC1">
        <w:rPr>
          <w:rFonts w:cs="Times New Roman"/>
          <w:color w:val="000000"/>
          <w:sz w:val="24"/>
          <w:szCs w:val="24"/>
        </w:rPr>
        <w:t xml:space="preserve"> hence the need for close monitoring</w:t>
      </w:r>
      <w:r w:rsidR="002D1A1F">
        <w:rPr>
          <w:rFonts w:cs="Times New Roman"/>
          <w:color w:val="000000"/>
          <w:sz w:val="24"/>
          <w:szCs w:val="24"/>
        </w:rPr>
        <w:t xml:space="preserve"> </w:t>
      </w:r>
      <w:r w:rsidR="00CB3AC1">
        <w:rPr>
          <w:rFonts w:cs="Times New Roman"/>
          <w:color w:val="000000"/>
          <w:sz w:val="24"/>
          <w:szCs w:val="24"/>
        </w:rPr>
        <w:t>in the coming months.</w:t>
      </w:r>
    </w:p>
    <w:p w:rsidR="007E2C43" w:rsidRPr="008138F9" w:rsidRDefault="007E2C43" w:rsidP="00601605">
      <w:pPr>
        <w:spacing w:after="0" w:line="240" w:lineRule="auto"/>
        <w:contextualSpacing/>
        <w:mirrorIndents/>
        <w:jc w:val="both"/>
        <w:rPr>
          <w:rFonts w:cs="Times New Roman"/>
          <w:sz w:val="24"/>
          <w:szCs w:val="24"/>
        </w:rPr>
      </w:pPr>
    </w:p>
    <w:p w:rsidR="007E2C43" w:rsidRPr="008138F9" w:rsidRDefault="009D16DC" w:rsidP="00601605">
      <w:pPr>
        <w:numPr>
          <w:ilvl w:val="0"/>
          <w:numId w:val="30"/>
        </w:numPr>
        <w:tabs>
          <w:tab w:val="num" w:pos="720"/>
        </w:tabs>
        <w:spacing w:after="0" w:line="240" w:lineRule="auto"/>
        <w:ind w:left="0" w:firstLine="0"/>
        <w:contextualSpacing/>
        <w:mirrorIndents/>
        <w:jc w:val="both"/>
        <w:rPr>
          <w:rFonts w:cs="Times New Roman"/>
          <w:sz w:val="24"/>
          <w:szCs w:val="24"/>
        </w:rPr>
      </w:pPr>
      <w:r>
        <w:rPr>
          <w:rFonts w:cs="Times New Roman"/>
          <w:b/>
          <w:sz w:val="24"/>
          <w:szCs w:val="24"/>
        </w:rPr>
        <w:t>As discussed in fuller details in the next section, the f</w:t>
      </w:r>
      <w:r w:rsidR="007E2C43" w:rsidRPr="008138F9">
        <w:rPr>
          <w:rFonts w:cs="Times New Roman"/>
          <w:b/>
          <w:sz w:val="24"/>
          <w:szCs w:val="24"/>
        </w:rPr>
        <w:t xml:space="preserve">iscal deficit </w:t>
      </w:r>
      <w:r w:rsidR="0013371C">
        <w:rPr>
          <w:rFonts w:cs="Times New Roman"/>
          <w:b/>
          <w:sz w:val="24"/>
          <w:szCs w:val="24"/>
        </w:rPr>
        <w:t>e</w:t>
      </w:r>
      <w:r w:rsidR="00884398">
        <w:rPr>
          <w:rFonts w:cs="Times New Roman"/>
          <w:b/>
          <w:sz w:val="24"/>
          <w:szCs w:val="24"/>
        </w:rPr>
        <w:t xml:space="preserve">xpanded significantly to 6.2 percent of GDP in 2012/13, almost the same level as just after </w:t>
      </w:r>
      <w:r w:rsidR="00884398" w:rsidRPr="008138F9">
        <w:rPr>
          <w:rFonts w:cs="Times New Roman"/>
          <w:b/>
          <w:sz w:val="24"/>
          <w:szCs w:val="24"/>
        </w:rPr>
        <w:t>Global</w:t>
      </w:r>
      <w:r w:rsidR="006A7A15">
        <w:rPr>
          <w:rFonts w:cs="Times New Roman"/>
          <w:b/>
          <w:sz w:val="24"/>
          <w:szCs w:val="24"/>
        </w:rPr>
        <w:t xml:space="preserve"> Financial Crisis (</w:t>
      </w:r>
      <w:r w:rsidR="007E2C43" w:rsidRPr="008138F9">
        <w:rPr>
          <w:rFonts w:cs="Times New Roman"/>
          <w:b/>
          <w:sz w:val="24"/>
          <w:szCs w:val="24"/>
        </w:rPr>
        <w:t>GFC</w:t>
      </w:r>
      <w:r w:rsidR="00DD5961" w:rsidRPr="008138F9">
        <w:rPr>
          <w:rFonts w:cs="Times New Roman"/>
          <w:b/>
          <w:sz w:val="24"/>
          <w:szCs w:val="24"/>
        </w:rPr>
        <w:t xml:space="preserve"> </w:t>
      </w:r>
      <w:r w:rsidR="007E2C43" w:rsidRPr="008138F9">
        <w:rPr>
          <w:rFonts w:cs="Times New Roman"/>
          <w:b/>
          <w:sz w:val="24"/>
          <w:szCs w:val="24"/>
        </w:rPr>
        <w:t xml:space="preserve">and </w:t>
      </w:r>
      <w:r w:rsidR="00884398">
        <w:rPr>
          <w:rFonts w:cs="Times New Roman"/>
          <w:b/>
          <w:sz w:val="24"/>
          <w:szCs w:val="24"/>
        </w:rPr>
        <w:t xml:space="preserve">surpassing the </w:t>
      </w:r>
      <w:r w:rsidR="007E2C43" w:rsidRPr="008138F9">
        <w:rPr>
          <w:rFonts w:cs="Times New Roman"/>
          <w:b/>
          <w:sz w:val="24"/>
          <w:szCs w:val="24"/>
        </w:rPr>
        <w:t xml:space="preserve">IMF target </w:t>
      </w:r>
      <w:r w:rsidR="00884398">
        <w:rPr>
          <w:rFonts w:cs="Times New Roman"/>
          <w:b/>
          <w:sz w:val="24"/>
          <w:szCs w:val="24"/>
        </w:rPr>
        <w:t>of 5.5</w:t>
      </w:r>
      <w:r>
        <w:rPr>
          <w:rFonts w:cs="Times New Roman"/>
          <w:b/>
          <w:sz w:val="24"/>
          <w:szCs w:val="24"/>
        </w:rPr>
        <w:t>)</w:t>
      </w:r>
      <w:r w:rsidR="00884398">
        <w:rPr>
          <w:rFonts w:cs="Times New Roman"/>
          <w:sz w:val="24"/>
          <w:szCs w:val="24"/>
        </w:rPr>
        <w:t xml:space="preserve">. </w:t>
      </w:r>
    </w:p>
    <w:p w:rsidR="0080385B" w:rsidRPr="008138F9" w:rsidRDefault="0080385B" w:rsidP="003D7A2D">
      <w:pPr>
        <w:spacing w:after="0" w:line="240" w:lineRule="auto"/>
        <w:contextualSpacing/>
        <w:mirrorIndents/>
        <w:jc w:val="both"/>
        <w:rPr>
          <w:rFonts w:cs="Times New Roman"/>
          <w:sz w:val="24"/>
          <w:szCs w:val="24"/>
        </w:rPr>
      </w:pPr>
    </w:p>
    <w:p w:rsidR="00636976" w:rsidRPr="008138F9" w:rsidRDefault="00636976" w:rsidP="003D7A2D">
      <w:pPr>
        <w:tabs>
          <w:tab w:val="num" w:pos="0"/>
        </w:tabs>
        <w:spacing w:after="0" w:line="240" w:lineRule="auto"/>
        <w:contextualSpacing/>
        <w:mirrorIndents/>
        <w:jc w:val="both"/>
        <w:rPr>
          <w:rFonts w:cs="Times New Roman"/>
          <w:b/>
          <w:i/>
          <w:sz w:val="24"/>
          <w:szCs w:val="24"/>
        </w:rPr>
      </w:pPr>
      <w:r w:rsidRPr="008138F9">
        <w:rPr>
          <w:rFonts w:cs="Times New Roman"/>
          <w:b/>
          <w:i/>
          <w:sz w:val="24"/>
          <w:szCs w:val="24"/>
        </w:rPr>
        <w:t>Macroeconomic Outlook</w:t>
      </w:r>
    </w:p>
    <w:p w:rsidR="00636976" w:rsidRPr="008138F9" w:rsidRDefault="00636976" w:rsidP="003D7A2D">
      <w:pPr>
        <w:spacing w:after="0" w:line="240" w:lineRule="auto"/>
        <w:contextualSpacing/>
        <w:mirrorIndents/>
        <w:jc w:val="both"/>
        <w:rPr>
          <w:rFonts w:cs="Times New Roman"/>
          <w:sz w:val="24"/>
          <w:szCs w:val="24"/>
        </w:rPr>
      </w:pPr>
    </w:p>
    <w:p w:rsidR="00CA596C" w:rsidRPr="000816D8" w:rsidRDefault="002E7182" w:rsidP="002E7182">
      <w:pPr>
        <w:numPr>
          <w:ilvl w:val="0"/>
          <w:numId w:val="30"/>
        </w:numPr>
        <w:tabs>
          <w:tab w:val="num" w:pos="720"/>
        </w:tabs>
        <w:spacing w:after="0" w:line="240" w:lineRule="auto"/>
        <w:ind w:left="0" w:firstLine="0"/>
        <w:contextualSpacing/>
        <w:mirrorIndents/>
        <w:jc w:val="both"/>
        <w:rPr>
          <w:rFonts w:cs="Times New Roman"/>
          <w:sz w:val="24"/>
          <w:szCs w:val="24"/>
        </w:rPr>
      </w:pPr>
      <w:r w:rsidRPr="000816D8">
        <w:rPr>
          <w:rFonts w:cs="Times New Roman"/>
          <w:b/>
          <w:sz w:val="24"/>
          <w:szCs w:val="24"/>
        </w:rPr>
        <w:t xml:space="preserve">Tanzania’s economic growth is </w:t>
      </w:r>
      <w:r w:rsidR="0074740E" w:rsidRPr="000816D8">
        <w:rPr>
          <w:rFonts w:cs="Times New Roman"/>
          <w:b/>
          <w:sz w:val="24"/>
          <w:szCs w:val="24"/>
        </w:rPr>
        <w:t xml:space="preserve">projected </w:t>
      </w:r>
      <w:r w:rsidRPr="000816D8">
        <w:rPr>
          <w:rFonts w:cs="Times New Roman"/>
          <w:b/>
          <w:sz w:val="24"/>
          <w:szCs w:val="24"/>
        </w:rPr>
        <w:t xml:space="preserve">to remain stable </w:t>
      </w:r>
      <w:r w:rsidR="00912A91" w:rsidRPr="000816D8">
        <w:rPr>
          <w:rFonts w:cs="Times New Roman"/>
          <w:b/>
          <w:sz w:val="24"/>
          <w:szCs w:val="24"/>
        </w:rPr>
        <w:t xml:space="preserve">at </w:t>
      </w:r>
      <w:r w:rsidRPr="000816D8">
        <w:rPr>
          <w:rFonts w:cs="Times New Roman"/>
          <w:b/>
          <w:sz w:val="24"/>
          <w:szCs w:val="24"/>
        </w:rPr>
        <w:t>around 7 percent in the medium term</w:t>
      </w:r>
      <w:r w:rsidR="0074740E" w:rsidRPr="000816D8">
        <w:rPr>
          <w:rFonts w:cs="Times New Roman"/>
          <w:b/>
          <w:sz w:val="24"/>
          <w:szCs w:val="24"/>
        </w:rPr>
        <w:t xml:space="preserve">. </w:t>
      </w:r>
      <w:r w:rsidR="0074740E" w:rsidRPr="000816D8">
        <w:rPr>
          <w:rFonts w:cs="Times New Roman"/>
          <w:sz w:val="24"/>
          <w:szCs w:val="24"/>
        </w:rPr>
        <w:t xml:space="preserve">The main drivers of growth are expected to remain the </w:t>
      </w:r>
      <w:r w:rsidRPr="000816D8">
        <w:rPr>
          <w:rFonts w:cs="Times New Roman"/>
          <w:sz w:val="24"/>
          <w:szCs w:val="24"/>
        </w:rPr>
        <w:t xml:space="preserve">same </w:t>
      </w:r>
      <w:r w:rsidR="00912A91" w:rsidRPr="000816D8">
        <w:rPr>
          <w:rFonts w:cs="Times New Roman"/>
          <w:sz w:val="24"/>
          <w:szCs w:val="24"/>
        </w:rPr>
        <w:t>as</w:t>
      </w:r>
      <w:r w:rsidRPr="000816D8">
        <w:rPr>
          <w:rFonts w:cs="Times New Roman"/>
          <w:sz w:val="24"/>
          <w:szCs w:val="24"/>
        </w:rPr>
        <w:t xml:space="preserve"> in recent years </w:t>
      </w:r>
      <w:r w:rsidR="0074740E" w:rsidRPr="000816D8">
        <w:rPr>
          <w:rFonts w:cs="Times New Roman"/>
          <w:sz w:val="24"/>
          <w:szCs w:val="24"/>
        </w:rPr>
        <w:t xml:space="preserve">accompanied by </w:t>
      </w:r>
      <w:r w:rsidR="009C6676" w:rsidRPr="000816D8">
        <w:rPr>
          <w:rFonts w:cs="Times New Roman"/>
          <w:sz w:val="24"/>
          <w:szCs w:val="24"/>
        </w:rPr>
        <w:t xml:space="preserve">an </w:t>
      </w:r>
      <w:r w:rsidRPr="000816D8">
        <w:rPr>
          <w:rFonts w:cs="Times New Roman"/>
          <w:sz w:val="24"/>
          <w:szCs w:val="24"/>
        </w:rPr>
        <w:t xml:space="preserve">increase in public investment (as part of the “Big Results, Now” initiative). </w:t>
      </w:r>
      <w:r w:rsidR="0074740E" w:rsidRPr="000816D8">
        <w:rPr>
          <w:rFonts w:cs="Times New Roman"/>
          <w:sz w:val="24"/>
          <w:szCs w:val="24"/>
        </w:rPr>
        <w:lastRenderedPageBreak/>
        <w:t xml:space="preserve">Sectors, such as </w:t>
      </w:r>
      <w:r w:rsidRPr="000816D8">
        <w:rPr>
          <w:rFonts w:cs="Times New Roman"/>
          <w:sz w:val="24"/>
          <w:szCs w:val="24"/>
        </w:rPr>
        <w:t xml:space="preserve">communication, financial, retail trade and construction should continue to benefit from sustained increases in domestic demand </w:t>
      </w:r>
      <w:r w:rsidR="0074740E" w:rsidRPr="000816D8">
        <w:rPr>
          <w:rFonts w:cs="Times New Roman"/>
          <w:sz w:val="24"/>
          <w:szCs w:val="24"/>
        </w:rPr>
        <w:t xml:space="preserve">resulting from </w:t>
      </w:r>
      <w:r w:rsidRPr="000816D8">
        <w:rPr>
          <w:rFonts w:cs="Times New Roman"/>
          <w:sz w:val="24"/>
          <w:szCs w:val="24"/>
        </w:rPr>
        <w:t xml:space="preserve">technological changes and urbanization. </w:t>
      </w:r>
      <w:r w:rsidR="00CA596C" w:rsidRPr="000816D8">
        <w:rPr>
          <w:rFonts w:cs="Times New Roman"/>
          <w:sz w:val="24"/>
          <w:szCs w:val="24"/>
        </w:rPr>
        <w:t>Pr</w:t>
      </w:r>
      <w:r w:rsidR="0074740E" w:rsidRPr="000816D8">
        <w:rPr>
          <w:rFonts w:cs="Times New Roman"/>
          <w:sz w:val="24"/>
          <w:szCs w:val="24"/>
        </w:rPr>
        <w:t xml:space="preserve">eliminary data </w:t>
      </w:r>
      <w:r w:rsidR="00CA596C" w:rsidRPr="000816D8">
        <w:rPr>
          <w:rFonts w:cs="Times New Roman"/>
          <w:sz w:val="24"/>
          <w:szCs w:val="24"/>
        </w:rPr>
        <w:t xml:space="preserve">shows </w:t>
      </w:r>
      <w:r w:rsidR="00EC4906" w:rsidRPr="000816D8">
        <w:rPr>
          <w:rFonts w:cs="Times New Roman"/>
          <w:sz w:val="24"/>
          <w:szCs w:val="24"/>
        </w:rPr>
        <w:t xml:space="preserve">real GDP grew by 7.5 percent during the </w:t>
      </w:r>
      <w:r w:rsidR="00884398" w:rsidRPr="000816D8">
        <w:rPr>
          <w:rFonts w:cs="Times New Roman"/>
          <w:sz w:val="24"/>
          <w:szCs w:val="24"/>
        </w:rPr>
        <w:t>first quarter of 2013</w:t>
      </w:r>
      <w:r w:rsidR="00EC4906" w:rsidRPr="000816D8">
        <w:rPr>
          <w:rFonts w:cs="Times New Roman"/>
          <w:sz w:val="24"/>
          <w:szCs w:val="24"/>
        </w:rPr>
        <w:t>.</w:t>
      </w:r>
    </w:p>
    <w:p w:rsidR="007D676B" w:rsidRPr="007D676B" w:rsidRDefault="007D676B" w:rsidP="007D676B">
      <w:pPr>
        <w:spacing w:after="0" w:line="240" w:lineRule="auto"/>
        <w:contextualSpacing/>
        <w:mirrorIndents/>
        <w:jc w:val="both"/>
        <w:rPr>
          <w:rFonts w:cs="Times New Roman"/>
          <w:sz w:val="24"/>
          <w:szCs w:val="24"/>
        </w:rPr>
      </w:pPr>
    </w:p>
    <w:p w:rsidR="002E7182" w:rsidRPr="008138F9" w:rsidRDefault="002E7182" w:rsidP="002E7182">
      <w:pPr>
        <w:numPr>
          <w:ilvl w:val="0"/>
          <w:numId w:val="30"/>
        </w:numPr>
        <w:tabs>
          <w:tab w:val="num" w:pos="720"/>
        </w:tabs>
        <w:spacing w:after="0" w:line="240" w:lineRule="auto"/>
        <w:ind w:left="0" w:firstLine="0"/>
        <w:contextualSpacing/>
        <w:mirrorIndents/>
        <w:jc w:val="both"/>
        <w:rPr>
          <w:rFonts w:cs="Times New Roman"/>
          <w:sz w:val="24"/>
          <w:szCs w:val="24"/>
        </w:rPr>
      </w:pPr>
      <w:r w:rsidRPr="008138F9">
        <w:rPr>
          <w:rFonts w:cs="Times New Roman"/>
          <w:b/>
          <w:color w:val="000000"/>
          <w:sz w:val="24"/>
          <w:szCs w:val="24"/>
        </w:rPr>
        <w:t xml:space="preserve">Inflation </w:t>
      </w:r>
      <w:r w:rsidR="00912A91">
        <w:rPr>
          <w:rFonts w:cs="Times New Roman"/>
          <w:b/>
          <w:color w:val="000000"/>
          <w:sz w:val="24"/>
          <w:szCs w:val="24"/>
        </w:rPr>
        <w:t xml:space="preserve">is </w:t>
      </w:r>
      <w:r w:rsidRPr="008138F9">
        <w:rPr>
          <w:rFonts w:cs="Times New Roman"/>
          <w:b/>
          <w:color w:val="000000"/>
          <w:sz w:val="24"/>
          <w:szCs w:val="24"/>
        </w:rPr>
        <w:t xml:space="preserve">expected to decline to </w:t>
      </w:r>
      <w:r w:rsidR="00CA596C" w:rsidRPr="008138F9">
        <w:rPr>
          <w:rFonts w:cs="Times New Roman"/>
          <w:b/>
          <w:color w:val="000000"/>
          <w:sz w:val="24"/>
          <w:szCs w:val="24"/>
        </w:rPr>
        <w:t xml:space="preserve">around 5 percent </w:t>
      </w:r>
      <w:r w:rsidR="00EC4906" w:rsidRPr="008138F9">
        <w:rPr>
          <w:rFonts w:cs="Times New Roman"/>
          <w:b/>
          <w:color w:val="000000"/>
          <w:sz w:val="24"/>
          <w:szCs w:val="24"/>
        </w:rPr>
        <w:t>over the medium term.</w:t>
      </w:r>
      <w:r w:rsidRPr="008138F9">
        <w:rPr>
          <w:rFonts w:cs="Times New Roman"/>
          <w:color w:val="000000"/>
          <w:sz w:val="24"/>
          <w:szCs w:val="24"/>
        </w:rPr>
        <w:t xml:space="preserve"> The </w:t>
      </w:r>
      <w:r w:rsidR="00EC4906" w:rsidRPr="008138F9">
        <w:rPr>
          <w:rFonts w:cs="Times New Roman"/>
          <w:color w:val="000000"/>
          <w:sz w:val="24"/>
          <w:szCs w:val="24"/>
        </w:rPr>
        <w:t xml:space="preserve">decline in inflation assumes favorable energy and food prices accompanied by prudent monetary policy with </w:t>
      </w:r>
      <w:r w:rsidR="007D74D1">
        <w:rPr>
          <w:rFonts w:cs="Times New Roman"/>
          <w:color w:val="000000"/>
          <w:sz w:val="24"/>
          <w:szCs w:val="24"/>
        </w:rPr>
        <w:t>a moderate rate of M3 growth consistent with low and stable inflation.</w:t>
      </w:r>
    </w:p>
    <w:p w:rsidR="002E7182" w:rsidRPr="008138F9" w:rsidRDefault="002E7182" w:rsidP="002E7182">
      <w:pPr>
        <w:spacing w:after="0" w:line="240" w:lineRule="auto"/>
        <w:contextualSpacing/>
        <w:mirrorIndents/>
        <w:jc w:val="both"/>
        <w:rPr>
          <w:rFonts w:cs="Times New Roman"/>
          <w:sz w:val="24"/>
          <w:szCs w:val="24"/>
        </w:rPr>
      </w:pPr>
    </w:p>
    <w:p w:rsidR="002E7182" w:rsidRPr="008138F9" w:rsidRDefault="00050A4E" w:rsidP="002E7182">
      <w:pPr>
        <w:numPr>
          <w:ilvl w:val="0"/>
          <w:numId w:val="30"/>
        </w:numPr>
        <w:tabs>
          <w:tab w:val="num" w:pos="720"/>
        </w:tabs>
        <w:spacing w:after="0" w:line="240" w:lineRule="auto"/>
        <w:ind w:left="0" w:firstLine="0"/>
        <w:contextualSpacing/>
        <w:mirrorIndents/>
        <w:jc w:val="both"/>
        <w:rPr>
          <w:rFonts w:cs="Times New Roman"/>
          <w:sz w:val="24"/>
          <w:szCs w:val="24"/>
        </w:rPr>
      </w:pPr>
      <w:r w:rsidRPr="008138F9">
        <w:rPr>
          <w:rFonts w:cs="Times New Roman"/>
          <w:b/>
          <w:color w:val="000000"/>
          <w:sz w:val="24"/>
          <w:szCs w:val="24"/>
        </w:rPr>
        <w:t xml:space="preserve">The overall external balance </w:t>
      </w:r>
      <w:r w:rsidR="00912A91">
        <w:rPr>
          <w:rFonts w:cs="Times New Roman"/>
          <w:b/>
          <w:color w:val="000000"/>
          <w:sz w:val="24"/>
          <w:szCs w:val="24"/>
        </w:rPr>
        <w:t>is expected to</w:t>
      </w:r>
      <w:r w:rsidR="00912A91" w:rsidRPr="008138F9">
        <w:rPr>
          <w:rFonts w:cs="Times New Roman"/>
          <w:b/>
          <w:color w:val="000000"/>
          <w:sz w:val="24"/>
          <w:szCs w:val="24"/>
        </w:rPr>
        <w:t xml:space="preserve"> </w:t>
      </w:r>
      <w:r w:rsidRPr="008138F9">
        <w:rPr>
          <w:rFonts w:cs="Times New Roman"/>
          <w:b/>
          <w:color w:val="000000"/>
          <w:sz w:val="24"/>
          <w:szCs w:val="24"/>
        </w:rPr>
        <w:t>remain stable but with</w:t>
      </w:r>
      <w:r w:rsidR="00912A91">
        <w:rPr>
          <w:rFonts w:cs="Times New Roman"/>
          <w:b/>
          <w:color w:val="000000"/>
          <w:sz w:val="24"/>
          <w:szCs w:val="24"/>
        </w:rPr>
        <w:t xml:space="preserve"> a</w:t>
      </w:r>
      <w:r w:rsidRPr="008138F9">
        <w:rPr>
          <w:rFonts w:cs="Times New Roman"/>
          <w:b/>
          <w:color w:val="000000"/>
          <w:sz w:val="24"/>
          <w:szCs w:val="24"/>
        </w:rPr>
        <w:t xml:space="preserve"> relatively high </w:t>
      </w:r>
      <w:r w:rsidR="002E7182" w:rsidRPr="008138F9">
        <w:rPr>
          <w:rFonts w:cs="Times New Roman"/>
          <w:b/>
          <w:color w:val="000000"/>
          <w:sz w:val="24"/>
          <w:szCs w:val="24"/>
        </w:rPr>
        <w:t>current account</w:t>
      </w:r>
      <w:r w:rsidRPr="008138F9">
        <w:rPr>
          <w:rFonts w:cs="Times New Roman"/>
          <w:b/>
          <w:color w:val="000000"/>
          <w:sz w:val="24"/>
          <w:szCs w:val="24"/>
        </w:rPr>
        <w:t xml:space="preserve"> deficit</w:t>
      </w:r>
      <w:r w:rsidRPr="008138F9">
        <w:rPr>
          <w:rFonts w:cs="Times New Roman"/>
          <w:color w:val="000000"/>
          <w:sz w:val="24"/>
          <w:szCs w:val="24"/>
        </w:rPr>
        <w:t>. A</w:t>
      </w:r>
      <w:r w:rsidR="002E7182" w:rsidRPr="008138F9">
        <w:rPr>
          <w:rFonts w:cs="Times New Roman"/>
          <w:color w:val="000000"/>
          <w:sz w:val="24"/>
          <w:szCs w:val="24"/>
        </w:rPr>
        <w:t xml:space="preserve"> significant growth in resource-related FDI</w:t>
      </w:r>
      <w:r w:rsidR="00003938" w:rsidRPr="008138F9">
        <w:rPr>
          <w:rFonts w:cs="Times New Roman"/>
          <w:color w:val="000000"/>
          <w:sz w:val="24"/>
          <w:szCs w:val="24"/>
        </w:rPr>
        <w:t xml:space="preserve"> (especially natural gas)</w:t>
      </w:r>
      <w:r w:rsidR="002E7182" w:rsidRPr="008138F9">
        <w:rPr>
          <w:rFonts w:cs="Times New Roman"/>
          <w:color w:val="000000"/>
          <w:sz w:val="24"/>
          <w:szCs w:val="24"/>
        </w:rPr>
        <w:t xml:space="preserve"> and </w:t>
      </w:r>
      <w:r w:rsidR="00912A91">
        <w:rPr>
          <w:rFonts w:cs="Times New Roman"/>
          <w:color w:val="000000"/>
          <w:sz w:val="24"/>
          <w:szCs w:val="24"/>
        </w:rPr>
        <w:t xml:space="preserve">the </w:t>
      </w:r>
      <w:r w:rsidR="002E7182" w:rsidRPr="008138F9">
        <w:rPr>
          <w:rFonts w:cs="Times New Roman"/>
          <w:color w:val="000000"/>
          <w:sz w:val="24"/>
          <w:szCs w:val="24"/>
        </w:rPr>
        <w:t>induced imports related to such investment</w:t>
      </w:r>
      <w:r w:rsidRPr="008138F9">
        <w:rPr>
          <w:rFonts w:cs="Times New Roman"/>
          <w:color w:val="000000"/>
          <w:sz w:val="24"/>
          <w:szCs w:val="24"/>
        </w:rPr>
        <w:t xml:space="preserve"> will expand the current account deficit before improving </w:t>
      </w:r>
      <w:r w:rsidR="002E7182" w:rsidRPr="008138F9">
        <w:rPr>
          <w:rFonts w:cs="Times New Roman"/>
          <w:color w:val="000000"/>
          <w:sz w:val="24"/>
          <w:szCs w:val="24"/>
        </w:rPr>
        <w:t xml:space="preserve">significantly in the medium term after domestic natural gas replaces liquid fuel as the main source of thermal power generation.  The </w:t>
      </w:r>
      <w:r w:rsidRPr="008138F9">
        <w:rPr>
          <w:rFonts w:cs="Times New Roman"/>
          <w:color w:val="000000"/>
          <w:sz w:val="24"/>
          <w:szCs w:val="24"/>
        </w:rPr>
        <w:t xml:space="preserve">gross </w:t>
      </w:r>
      <w:r w:rsidR="002E7182" w:rsidRPr="008138F9">
        <w:rPr>
          <w:rFonts w:cs="Times New Roman"/>
          <w:color w:val="000000"/>
          <w:sz w:val="24"/>
          <w:szCs w:val="24"/>
        </w:rPr>
        <w:t xml:space="preserve">official reserves are also projected to </w:t>
      </w:r>
      <w:r w:rsidRPr="008138F9">
        <w:rPr>
          <w:rFonts w:cs="Times New Roman"/>
          <w:color w:val="000000"/>
          <w:sz w:val="24"/>
          <w:szCs w:val="24"/>
        </w:rPr>
        <w:t>be stable at</w:t>
      </w:r>
      <w:r w:rsidR="002E7182" w:rsidRPr="008138F9">
        <w:rPr>
          <w:rFonts w:cs="Times New Roman"/>
          <w:color w:val="000000"/>
          <w:sz w:val="24"/>
          <w:szCs w:val="24"/>
        </w:rPr>
        <w:t xml:space="preserve"> around 4 months of imports of goods and service </w:t>
      </w:r>
      <w:r w:rsidR="00CB1470" w:rsidRPr="008138F9">
        <w:rPr>
          <w:rFonts w:cs="Times New Roman"/>
          <w:color w:val="000000"/>
          <w:sz w:val="24"/>
          <w:szCs w:val="24"/>
        </w:rPr>
        <w:t>(excluding FDI related imports)</w:t>
      </w:r>
      <w:r w:rsidRPr="008138F9">
        <w:rPr>
          <w:rFonts w:cs="Times New Roman"/>
          <w:color w:val="000000"/>
          <w:sz w:val="24"/>
          <w:szCs w:val="24"/>
        </w:rPr>
        <w:t>.</w:t>
      </w:r>
    </w:p>
    <w:p w:rsidR="002E7182" w:rsidRPr="008138F9" w:rsidRDefault="002E7182" w:rsidP="002E7182">
      <w:pPr>
        <w:spacing w:after="0" w:line="240" w:lineRule="auto"/>
        <w:contextualSpacing/>
        <w:mirrorIndents/>
        <w:jc w:val="both"/>
        <w:rPr>
          <w:rFonts w:cs="Times New Roman"/>
          <w:sz w:val="24"/>
          <w:szCs w:val="24"/>
        </w:rPr>
      </w:pPr>
    </w:p>
    <w:p w:rsidR="00636976" w:rsidRPr="008138F9" w:rsidRDefault="00636976" w:rsidP="003D7A2D">
      <w:pPr>
        <w:tabs>
          <w:tab w:val="num" w:pos="0"/>
        </w:tabs>
        <w:spacing w:after="0" w:line="240" w:lineRule="auto"/>
        <w:contextualSpacing/>
        <w:mirrorIndents/>
        <w:jc w:val="both"/>
        <w:rPr>
          <w:rFonts w:cs="Times New Roman"/>
          <w:b/>
          <w:sz w:val="24"/>
          <w:szCs w:val="24"/>
        </w:rPr>
      </w:pPr>
      <w:r w:rsidRPr="008138F9">
        <w:rPr>
          <w:rFonts w:cs="Times New Roman"/>
          <w:b/>
          <w:sz w:val="24"/>
          <w:szCs w:val="24"/>
        </w:rPr>
        <w:t>B.</w:t>
      </w:r>
      <w:r w:rsidRPr="008138F9">
        <w:rPr>
          <w:rFonts w:cs="Times New Roman"/>
          <w:b/>
          <w:sz w:val="24"/>
          <w:szCs w:val="24"/>
        </w:rPr>
        <w:tab/>
        <w:t>Fiscal-frame and outlook</w:t>
      </w:r>
    </w:p>
    <w:p w:rsidR="00016CCE" w:rsidRPr="008138F9" w:rsidRDefault="00016CCE" w:rsidP="003D7A2D">
      <w:pPr>
        <w:tabs>
          <w:tab w:val="num" w:pos="0"/>
        </w:tabs>
        <w:spacing w:after="0" w:line="240" w:lineRule="auto"/>
        <w:contextualSpacing/>
        <w:mirrorIndents/>
        <w:jc w:val="both"/>
        <w:rPr>
          <w:rFonts w:cs="Times New Roman"/>
          <w:b/>
          <w:sz w:val="24"/>
          <w:szCs w:val="24"/>
        </w:rPr>
      </w:pPr>
    </w:p>
    <w:p w:rsidR="00636976" w:rsidRPr="008138F9" w:rsidRDefault="00636976" w:rsidP="003D7A2D">
      <w:pPr>
        <w:tabs>
          <w:tab w:val="num" w:pos="0"/>
        </w:tabs>
        <w:spacing w:after="0" w:line="240" w:lineRule="auto"/>
        <w:contextualSpacing/>
        <w:mirrorIndents/>
        <w:jc w:val="both"/>
        <w:rPr>
          <w:rFonts w:cs="Times New Roman"/>
          <w:b/>
          <w:i/>
          <w:sz w:val="24"/>
          <w:szCs w:val="24"/>
        </w:rPr>
      </w:pPr>
      <w:r w:rsidRPr="008138F9">
        <w:rPr>
          <w:rFonts w:cs="Times New Roman"/>
          <w:b/>
          <w:i/>
          <w:sz w:val="24"/>
          <w:szCs w:val="24"/>
        </w:rPr>
        <w:t>Recent fiscal developments</w:t>
      </w:r>
    </w:p>
    <w:p w:rsidR="0080385B" w:rsidRPr="008138F9" w:rsidRDefault="0080385B" w:rsidP="003D7A2D">
      <w:pPr>
        <w:tabs>
          <w:tab w:val="num" w:pos="0"/>
        </w:tabs>
        <w:spacing w:after="0" w:line="240" w:lineRule="auto"/>
        <w:contextualSpacing/>
        <w:mirrorIndents/>
        <w:jc w:val="both"/>
        <w:rPr>
          <w:rFonts w:cs="Times New Roman"/>
          <w:b/>
          <w:sz w:val="24"/>
          <w:szCs w:val="24"/>
        </w:rPr>
      </w:pPr>
    </w:p>
    <w:p w:rsidR="00AB5E97" w:rsidRPr="00CF12C2" w:rsidRDefault="00636976" w:rsidP="008741F5">
      <w:pPr>
        <w:numPr>
          <w:ilvl w:val="0"/>
          <w:numId w:val="30"/>
        </w:numPr>
        <w:tabs>
          <w:tab w:val="num" w:pos="720"/>
        </w:tabs>
        <w:spacing w:after="0" w:line="240" w:lineRule="auto"/>
        <w:ind w:left="0" w:firstLine="0"/>
        <w:contextualSpacing/>
        <w:mirrorIndents/>
        <w:jc w:val="both"/>
        <w:rPr>
          <w:b/>
          <w:bCs/>
          <w:sz w:val="24"/>
          <w:szCs w:val="24"/>
        </w:rPr>
      </w:pPr>
      <w:r w:rsidRPr="00601605">
        <w:rPr>
          <w:b/>
          <w:bCs/>
          <w:i/>
          <w:sz w:val="24"/>
          <w:szCs w:val="24"/>
        </w:rPr>
        <w:t>Fiscal deficit:</w:t>
      </w:r>
      <w:r w:rsidRPr="00601605">
        <w:rPr>
          <w:b/>
          <w:bCs/>
          <w:sz w:val="24"/>
          <w:szCs w:val="24"/>
        </w:rPr>
        <w:t xml:space="preserve"> </w:t>
      </w:r>
      <w:r w:rsidR="00C00C15" w:rsidRPr="00601605">
        <w:rPr>
          <w:b/>
          <w:bCs/>
          <w:sz w:val="24"/>
          <w:szCs w:val="24"/>
        </w:rPr>
        <w:t xml:space="preserve">The </w:t>
      </w:r>
      <w:r w:rsidR="009D16DC">
        <w:rPr>
          <w:b/>
          <w:bCs/>
          <w:sz w:val="24"/>
          <w:szCs w:val="24"/>
        </w:rPr>
        <w:t xml:space="preserve">estimated 2012/13 </w:t>
      </w:r>
      <w:r w:rsidR="00C00C15" w:rsidRPr="00601605">
        <w:rPr>
          <w:b/>
          <w:bCs/>
          <w:sz w:val="24"/>
          <w:szCs w:val="24"/>
        </w:rPr>
        <w:t xml:space="preserve">fiscal deficit </w:t>
      </w:r>
      <w:r w:rsidR="009D16DC">
        <w:rPr>
          <w:b/>
          <w:bCs/>
          <w:sz w:val="24"/>
          <w:szCs w:val="24"/>
        </w:rPr>
        <w:t xml:space="preserve">exceeds </w:t>
      </w:r>
      <w:r w:rsidR="008741F5" w:rsidRPr="00601605">
        <w:rPr>
          <w:b/>
          <w:bCs/>
          <w:sz w:val="24"/>
          <w:szCs w:val="24"/>
        </w:rPr>
        <w:t>the IMF target</w:t>
      </w:r>
      <w:r w:rsidR="009D16DC">
        <w:rPr>
          <w:b/>
          <w:bCs/>
          <w:sz w:val="24"/>
          <w:szCs w:val="24"/>
        </w:rPr>
        <w:t>, by 0.7 percent of GDP.</w:t>
      </w:r>
      <w:r w:rsidR="004C7818" w:rsidRPr="00601605">
        <w:rPr>
          <w:b/>
          <w:bCs/>
          <w:sz w:val="24"/>
          <w:szCs w:val="24"/>
        </w:rPr>
        <w:t xml:space="preserve"> </w:t>
      </w:r>
      <w:r w:rsidR="00243EDA" w:rsidRPr="00601605">
        <w:rPr>
          <w:b/>
          <w:bCs/>
          <w:sz w:val="24"/>
          <w:szCs w:val="24"/>
        </w:rPr>
        <w:t xml:space="preserve"> </w:t>
      </w:r>
      <w:r w:rsidR="004323B8" w:rsidRPr="00601605">
        <w:rPr>
          <w:bCs/>
          <w:sz w:val="24"/>
          <w:szCs w:val="24"/>
        </w:rPr>
        <w:t>Th</w:t>
      </w:r>
      <w:r w:rsidR="004C7818" w:rsidRPr="00601605">
        <w:rPr>
          <w:bCs/>
          <w:sz w:val="24"/>
          <w:szCs w:val="24"/>
        </w:rPr>
        <w:t>e</w:t>
      </w:r>
      <w:r w:rsidR="005C45D1" w:rsidRPr="00601605">
        <w:rPr>
          <w:bCs/>
          <w:sz w:val="24"/>
          <w:szCs w:val="24"/>
        </w:rPr>
        <w:t xml:space="preserve"> preliminary data estimates the </w:t>
      </w:r>
      <w:r w:rsidR="004C7818" w:rsidRPr="00601605">
        <w:rPr>
          <w:bCs/>
          <w:sz w:val="24"/>
          <w:szCs w:val="24"/>
        </w:rPr>
        <w:t xml:space="preserve">fiscal </w:t>
      </w:r>
      <w:r w:rsidR="004323B8" w:rsidRPr="00601605">
        <w:rPr>
          <w:bCs/>
          <w:sz w:val="24"/>
          <w:szCs w:val="24"/>
        </w:rPr>
        <w:t>deficit</w:t>
      </w:r>
      <w:r w:rsidR="00C43805" w:rsidRPr="00601605">
        <w:rPr>
          <w:bCs/>
          <w:sz w:val="24"/>
          <w:szCs w:val="24"/>
        </w:rPr>
        <w:t xml:space="preserve"> to be </w:t>
      </w:r>
      <w:r w:rsidR="004C7818" w:rsidRPr="00D4063C">
        <w:rPr>
          <w:bCs/>
          <w:sz w:val="24"/>
          <w:szCs w:val="24"/>
        </w:rPr>
        <w:t>around 6.</w:t>
      </w:r>
      <w:r w:rsidR="00884398" w:rsidRPr="00D4063C">
        <w:rPr>
          <w:bCs/>
          <w:sz w:val="24"/>
          <w:szCs w:val="24"/>
        </w:rPr>
        <w:t>2</w:t>
      </w:r>
      <w:r w:rsidR="004C7818" w:rsidRPr="00D4063C">
        <w:rPr>
          <w:bCs/>
          <w:sz w:val="24"/>
          <w:szCs w:val="24"/>
        </w:rPr>
        <w:t xml:space="preserve"> percent of</w:t>
      </w:r>
      <w:r w:rsidR="004C7818" w:rsidRPr="00601605">
        <w:rPr>
          <w:bCs/>
          <w:sz w:val="24"/>
          <w:szCs w:val="24"/>
        </w:rPr>
        <w:t xml:space="preserve"> GDP</w:t>
      </w:r>
      <w:r w:rsidR="005C45D1" w:rsidRPr="00601605">
        <w:rPr>
          <w:bCs/>
          <w:sz w:val="24"/>
          <w:szCs w:val="24"/>
        </w:rPr>
        <w:t xml:space="preserve"> in 2012/13, up from 5.0 percent of GDP in 2011/12</w:t>
      </w:r>
      <w:r w:rsidR="00347747" w:rsidRPr="00601605">
        <w:rPr>
          <w:bCs/>
          <w:sz w:val="24"/>
          <w:szCs w:val="24"/>
        </w:rPr>
        <w:t xml:space="preserve"> </w:t>
      </w:r>
      <w:r w:rsidR="00CF12C2">
        <w:rPr>
          <w:bCs/>
          <w:sz w:val="24"/>
          <w:szCs w:val="24"/>
        </w:rPr>
        <w:t>(</w:t>
      </w:r>
      <w:r w:rsidR="00CF12C2">
        <w:rPr>
          <w:bCs/>
          <w:sz w:val="24"/>
          <w:szCs w:val="24"/>
        </w:rPr>
        <w:fldChar w:fldCharType="begin"/>
      </w:r>
      <w:r w:rsidR="00CF12C2">
        <w:rPr>
          <w:bCs/>
          <w:sz w:val="24"/>
          <w:szCs w:val="24"/>
        </w:rPr>
        <w:instrText xml:space="preserve"> REF _Ref372039084 \h </w:instrText>
      </w:r>
      <w:r w:rsidR="00CF12C2">
        <w:rPr>
          <w:bCs/>
          <w:sz w:val="24"/>
          <w:szCs w:val="24"/>
        </w:rPr>
      </w:r>
      <w:r w:rsidR="00CF12C2">
        <w:rPr>
          <w:bCs/>
          <w:sz w:val="24"/>
          <w:szCs w:val="24"/>
        </w:rPr>
        <w:fldChar w:fldCharType="separate"/>
      </w:r>
      <w:r w:rsidR="005B207F" w:rsidRPr="000816D8">
        <w:t xml:space="preserve">Table </w:t>
      </w:r>
      <w:r w:rsidR="005B207F">
        <w:rPr>
          <w:noProof/>
        </w:rPr>
        <w:t>2</w:t>
      </w:r>
      <w:r w:rsidR="00CF12C2">
        <w:rPr>
          <w:bCs/>
          <w:sz w:val="24"/>
          <w:szCs w:val="24"/>
        </w:rPr>
        <w:fldChar w:fldCharType="end"/>
      </w:r>
      <w:r w:rsidR="00CF12C2">
        <w:rPr>
          <w:bCs/>
          <w:sz w:val="24"/>
          <w:szCs w:val="24"/>
        </w:rPr>
        <w:t xml:space="preserve"> and Figure 3). </w:t>
      </w:r>
      <w:r w:rsidR="004323B8" w:rsidRPr="00601605">
        <w:rPr>
          <w:bCs/>
          <w:sz w:val="24"/>
          <w:szCs w:val="24"/>
        </w:rPr>
        <w:t xml:space="preserve"> </w:t>
      </w:r>
      <w:r w:rsidR="008741F5" w:rsidRPr="00601605">
        <w:rPr>
          <w:bCs/>
          <w:sz w:val="24"/>
          <w:szCs w:val="24"/>
        </w:rPr>
        <w:t xml:space="preserve">A combination of </w:t>
      </w:r>
      <w:r w:rsidR="009C6676" w:rsidRPr="00601605">
        <w:rPr>
          <w:bCs/>
          <w:sz w:val="24"/>
          <w:szCs w:val="24"/>
        </w:rPr>
        <w:t xml:space="preserve">a </w:t>
      </w:r>
      <w:r w:rsidR="008741F5" w:rsidRPr="00601605">
        <w:rPr>
          <w:bCs/>
          <w:sz w:val="24"/>
          <w:szCs w:val="24"/>
        </w:rPr>
        <w:t>shortfall</w:t>
      </w:r>
      <w:r w:rsidR="00F46E96">
        <w:rPr>
          <w:bCs/>
          <w:sz w:val="24"/>
          <w:szCs w:val="24"/>
        </w:rPr>
        <w:t xml:space="preserve"> in domestic revenue collection and </w:t>
      </w:r>
      <w:r w:rsidR="008741F5" w:rsidRPr="00601605">
        <w:rPr>
          <w:bCs/>
          <w:sz w:val="24"/>
          <w:szCs w:val="24"/>
        </w:rPr>
        <w:t>hig</w:t>
      </w:r>
      <w:r w:rsidR="00124764" w:rsidRPr="00601605">
        <w:rPr>
          <w:bCs/>
          <w:sz w:val="24"/>
          <w:szCs w:val="24"/>
        </w:rPr>
        <w:t>her than planned domestically financed expenditures resulted in expanded fiscal deficit.</w:t>
      </w:r>
      <w:r w:rsidR="00F67A94" w:rsidRPr="00601605">
        <w:rPr>
          <w:bCs/>
          <w:sz w:val="24"/>
          <w:szCs w:val="24"/>
        </w:rPr>
        <w:t xml:space="preserve"> </w:t>
      </w:r>
    </w:p>
    <w:p w:rsidR="00CF12C2" w:rsidRPr="00CF12C2" w:rsidRDefault="00CF12C2" w:rsidP="00CF12C2">
      <w:pPr>
        <w:spacing w:after="0" w:line="240" w:lineRule="auto"/>
        <w:contextualSpacing/>
        <w:mirrorIndents/>
        <w:jc w:val="both"/>
        <w:rPr>
          <w:bCs/>
          <w:sz w:val="24"/>
          <w:szCs w:val="24"/>
        </w:rPr>
      </w:pPr>
    </w:p>
    <w:p w:rsidR="003E67EC" w:rsidRPr="000816D8" w:rsidRDefault="002E3BB4" w:rsidP="006940FB">
      <w:pPr>
        <w:pStyle w:val="Caption"/>
        <w:spacing w:after="120"/>
        <w:jc w:val="center"/>
        <w:rPr>
          <w:bCs w:val="0"/>
          <w:color w:val="auto"/>
          <w:sz w:val="22"/>
          <w:szCs w:val="22"/>
        </w:rPr>
      </w:pPr>
      <w:bookmarkStart w:id="4" w:name="_Ref372039084"/>
      <w:r w:rsidRPr="000816D8">
        <w:rPr>
          <w:color w:val="auto"/>
          <w:sz w:val="22"/>
          <w:szCs w:val="22"/>
        </w:rPr>
        <w:t xml:space="preserve">Table </w:t>
      </w:r>
      <w:r w:rsidRPr="000816D8">
        <w:rPr>
          <w:color w:val="auto"/>
          <w:sz w:val="22"/>
          <w:szCs w:val="22"/>
        </w:rPr>
        <w:fldChar w:fldCharType="begin"/>
      </w:r>
      <w:r w:rsidRPr="000816D8">
        <w:rPr>
          <w:color w:val="auto"/>
          <w:sz w:val="22"/>
          <w:szCs w:val="22"/>
        </w:rPr>
        <w:instrText xml:space="preserve"> SEQ Table \* ARABIC </w:instrText>
      </w:r>
      <w:r w:rsidRPr="000816D8">
        <w:rPr>
          <w:color w:val="auto"/>
          <w:sz w:val="22"/>
          <w:szCs w:val="22"/>
        </w:rPr>
        <w:fldChar w:fldCharType="separate"/>
      </w:r>
      <w:r w:rsidR="005B207F">
        <w:rPr>
          <w:noProof/>
          <w:color w:val="auto"/>
          <w:sz w:val="22"/>
          <w:szCs w:val="22"/>
        </w:rPr>
        <w:t>2</w:t>
      </w:r>
      <w:r w:rsidRPr="000816D8">
        <w:rPr>
          <w:color w:val="auto"/>
          <w:sz w:val="22"/>
          <w:szCs w:val="22"/>
        </w:rPr>
        <w:fldChar w:fldCharType="end"/>
      </w:r>
      <w:bookmarkEnd w:id="4"/>
      <w:r w:rsidRPr="000816D8">
        <w:rPr>
          <w:color w:val="auto"/>
          <w:sz w:val="22"/>
          <w:szCs w:val="22"/>
        </w:rPr>
        <w:t xml:space="preserve">: </w:t>
      </w:r>
      <w:r w:rsidRPr="000816D8">
        <w:rPr>
          <w:bCs w:val="0"/>
          <w:color w:val="auto"/>
          <w:sz w:val="22"/>
          <w:szCs w:val="22"/>
        </w:rPr>
        <w:t>Fiscal trends (in percent of GDP)</w:t>
      </w:r>
    </w:p>
    <w:p w:rsidR="002E3BB4" w:rsidRDefault="00021568" w:rsidP="000816D8">
      <w:pPr>
        <w:spacing w:after="0" w:line="240" w:lineRule="auto"/>
        <w:contextualSpacing/>
        <w:mirrorIndents/>
        <w:jc w:val="center"/>
        <w:rPr>
          <w:b/>
          <w:bCs/>
          <w:sz w:val="24"/>
          <w:szCs w:val="24"/>
        </w:rPr>
      </w:pPr>
      <w:r w:rsidRPr="00021568">
        <w:rPr>
          <w:noProof/>
        </w:rPr>
        <w:drawing>
          <wp:inline distT="0" distB="0" distL="0" distR="0" wp14:anchorId="2B66183E" wp14:editId="06BCBAA6">
            <wp:extent cx="5486400" cy="16584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5771" cy="1667362"/>
                    </a:xfrm>
                    <a:prstGeom prst="rect">
                      <a:avLst/>
                    </a:prstGeom>
                    <a:noFill/>
                    <a:ln>
                      <a:noFill/>
                    </a:ln>
                  </pic:spPr>
                </pic:pic>
              </a:graphicData>
            </a:graphic>
          </wp:inline>
        </w:drawing>
      </w:r>
    </w:p>
    <w:p w:rsidR="002E3BB4" w:rsidRPr="00B874FF" w:rsidRDefault="00B874FF" w:rsidP="008741F5">
      <w:pPr>
        <w:spacing w:after="0" w:line="240" w:lineRule="auto"/>
        <w:contextualSpacing/>
        <w:mirrorIndents/>
        <w:jc w:val="both"/>
        <w:rPr>
          <w:bCs/>
        </w:rPr>
      </w:pPr>
      <w:r>
        <w:rPr>
          <w:bCs/>
        </w:rPr>
        <w:t xml:space="preserve"> </w:t>
      </w:r>
      <w:r w:rsidR="007439EA">
        <w:rPr>
          <w:bCs/>
        </w:rPr>
        <w:t xml:space="preserve">   </w:t>
      </w:r>
      <w:r w:rsidRPr="00B874FF">
        <w:rPr>
          <w:bCs/>
        </w:rPr>
        <w:t>Source:</w:t>
      </w:r>
      <w:r w:rsidR="007439EA">
        <w:rPr>
          <w:bCs/>
        </w:rPr>
        <w:t xml:space="preserve">  Ministry of Finance</w:t>
      </w:r>
      <w:r w:rsidR="00014D79">
        <w:rPr>
          <w:bCs/>
        </w:rPr>
        <w:t>, IMF</w:t>
      </w:r>
      <w:r w:rsidR="007439EA">
        <w:rPr>
          <w:rFonts w:cs="Calibri"/>
          <w:bCs/>
        </w:rPr>
        <w:t xml:space="preserve"> and World Bank</w:t>
      </w:r>
    </w:p>
    <w:p w:rsidR="00B874FF" w:rsidRPr="00601605" w:rsidRDefault="00B874FF" w:rsidP="008741F5">
      <w:pPr>
        <w:spacing w:after="0" w:line="240" w:lineRule="auto"/>
        <w:contextualSpacing/>
        <w:mirrorIndents/>
        <w:jc w:val="both"/>
        <w:rPr>
          <w:b/>
          <w:bCs/>
          <w:sz w:val="24"/>
          <w:szCs w:val="24"/>
        </w:rPr>
      </w:pPr>
    </w:p>
    <w:p w:rsidR="00884398" w:rsidRPr="00D269E8" w:rsidRDefault="00884398" w:rsidP="00884398">
      <w:pPr>
        <w:numPr>
          <w:ilvl w:val="0"/>
          <w:numId w:val="30"/>
        </w:numPr>
        <w:tabs>
          <w:tab w:val="num" w:pos="720"/>
        </w:tabs>
        <w:spacing w:after="0" w:line="240" w:lineRule="auto"/>
        <w:ind w:left="0" w:firstLine="0"/>
        <w:contextualSpacing/>
        <w:mirrorIndents/>
        <w:jc w:val="both"/>
        <w:rPr>
          <w:rFonts w:cs="Times New Roman"/>
          <w:b/>
          <w:sz w:val="24"/>
          <w:szCs w:val="24"/>
        </w:rPr>
      </w:pPr>
      <w:r w:rsidRPr="00601605">
        <w:rPr>
          <w:b/>
          <w:bCs/>
          <w:sz w:val="24"/>
          <w:szCs w:val="24"/>
        </w:rPr>
        <w:t xml:space="preserve">Deterioration of key indicators </w:t>
      </w:r>
      <w:r w:rsidR="009E4099">
        <w:rPr>
          <w:b/>
          <w:bCs/>
          <w:sz w:val="24"/>
          <w:szCs w:val="24"/>
        </w:rPr>
        <w:t>measuring</w:t>
      </w:r>
      <w:r w:rsidRPr="00601605">
        <w:rPr>
          <w:b/>
          <w:bCs/>
          <w:sz w:val="24"/>
          <w:szCs w:val="24"/>
        </w:rPr>
        <w:t xml:space="preserve"> the strength of fiscal accounts accompanied the widened fiscal deficit in 2012/13.  </w:t>
      </w:r>
      <w:r w:rsidRPr="00601605">
        <w:rPr>
          <w:bCs/>
          <w:sz w:val="24"/>
          <w:szCs w:val="24"/>
        </w:rPr>
        <w:t xml:space="preserve">The ratios of both domestic revenue to current expenditures and current expenditures to development expenditures, significantly deteriorated in 2012/13. </w:t>
      </w:r>
      <w:r w:rsidRPr="008459B7">
        <w:rPr>
          <w:bCs/>
          <w:sz w:val="24"/>
          <w:szCs w:val="24"/>
        </w:rPr>
        <w:t xml:space="preserve">Domestic revenues were only able to cover 97 percent of current expenditures while current expenditures were more than twice the development </w:t>
      </w:r>
      <w:r w:rsidR="00CF12C2">
        <w:rPr>
          <w:bCs/>
          <w:sz w:val="24"/>
          <w:szCs w:val="24"/>
        </w:rPr>
        <w:t xml:space="preserve">expenditures (Figure 4). </w:t>
      </w:r>
      <w:r w:rsidR="008459B7">
        <w:rPr>
          <w:bCs/>
          <w:sz w:val="24"/>
          <w:szCs w:val="24"/>
        </w:rPr>
        <w:lastRenderedPageBreak/>
        <w:t>These n</w:t>
      </w:r>
      <w:r w:rsidR="009D16DC" w:rsidRPr="008459B7">
        <w:rPr>
          <w:bCs/>
          <w:sz w:val="24"/>
          <w:szCs w:val="24"/>
        </w:rPr>
        <w:t xml:space="preserve">ew figures </w:t>
      </w:r>
      <w:r w:rsidRPr="008459B7">
        <w:rPr>
          <w:bCs/>
          <w:sz w:val="24"/>
          <w:szCs w:val="24"/>
        </w:rPr>
        <w:t>represent a reversal in fiscal policy trends which had improved significantly in 2011/12</w:t>
      </w:r>
      <w:r w:rsidR="009D16DC" w:rsidRPr="008459B7">
        <w:rPr>
          <w:bCs/>
          <w:sz w:val="24"/>
          <w:szCs w:val="24"/>
        </w:rPr>
        <w:t xml:space="preserve">. </w:t>
      </w:r>
    </w:p>
    <w:p w:rsidR="00B47441" w:rsidRPr="001D24F3" w:rsidRDefault="00B47441" w:rsidP="001D24F3">
      <w:pPr>
        <w:pStyle w:val="Caption"/>
        <w:spacing w:after="120"/>
        <w:rPr>
          <w:color w:val="auto"/>
          <w:sz w:val="22"/>
          <w:szCs w:val="22"/>
        </w:rPr>
      </w:pPr>
      <w:r w:rsidRPr="001D24F3">
        <w:rPr>
          <w:color w:val="auto"/>
          <w:sz w:val="22"/>
          <w:szCs w:val="22"/>
        </w:rPr>
        <w:t xml:space="preserve">Figure </w:t>
      </w:r>
      <w:r w:rsidRPr="001D24F3">
        <w:rPr>
          <w:color w:val="auto"/>
          <w:sz w:val="22"/>
          <w:szCs w:val="22"/>
        </w:rPr>
        <w:fldChar w:fldCharType="begin"/>
      </w:r>
      <w:r w:rsidRPr="001D24F3">
        <w:rPr>
          <w:color w:val="auto"/>
          <w:sz w:val="22"/>
          <w:szCs w:val="22"/>
        </w:rPr>
        <w:instrText xml:space="preserve"> SEQ Figure \* ARABIC </w:instrText>
      </w:r>
      <w:r w:rsidRPr="001D24F3">
        <w:rPr>
          <w:color w:val="auto"/>
          <w:sz w:val="22"/>
          <w:szCs w:val="22"/>
        </w:rPr>
        <w:fldChar w:fldCharType="separate"/>
      </w:r>
      <w:r w:rsidR="005B207F">
        <w:rPr>
          <w:noProof/>
          <w:color w:val="auto"/>
          <w:sz w:val="22"/>
          <w:szCs w:val="22"/>
        </w:rPr>
        <w:t>3</w:t>
      </w:r>
      <w:r w:rsidRPr="001D24F3">
        <w:rPr>
          <w:color w:val="auto"/>
          <w:sz w:val="22"/>
          <w:szCs w:val="22"/>
        </w:rPr>
        <w:fldChar w:fldCharType="end"/>
      </w:r>
      <w:r w:rsidRPr="001D24F3">
        <w:rPr>
          <w:color w:val="auto"/>
          <w:sz w:val="22"/>
          <w:szCs w:val="22"/>
        </w:rPr>
        <w:t xml:space="preserve">: </w:t>
      </w:r>
      <w:r w:rsidR="00F74DA2" w:rsidRPr="001D24F3">
        <w:rPr>
          <w:color w:val="auto"/>
          <w:sz w:val="22"/>
          <w:szCs w:val="22"/>
        </w:rPr>
        <w:t>F</w:t>
      </w:r>
      <w:r w:rsidRPr="001D24F3">
        <w:rPr>
          <w:color w:val="auto"/>
          <w:sz w:val="22"/>
          <w:szCs w:val="22"/>
        </w:rPr>
        <w:t xml:space="preserve">iscal deficit drivers (in % of GDP)   </w:t>
      </w:r>
      <w:r w:rsidR="00F74DA2" w:rsidRPr="001D24F3">
        <w:rPr>
          <w:color w:val="auto"/>
          <w:sz w:val="22"/>
          <w:szCs w:val="22"/>
        </w:rPr>
        <w:t xml:space="preserve">           </w:t>
      </w:r>
      <w:r w:rsidRPr="001D24F3">
        <w:rPr>
          <w:color w:val="auto"/>
          <w:sz w:val="22"/>
          <w:szCs w:val="22"/>
        </w:rPr>
        <w:t xml:space="preserve">Figure </w:t>
      </w:r>
      <w:r w:rsidRPr="001D24F3">
        <w:rPr>
          <w:color w:val="auto"/>
          <w:sz w:val="22"/>
          <w:szCs w:val="22"/>
        </w:rPr>
        <w:fldChar w:fldCharType="begin"/>
      </w:r>
      <w:r w:rsidRPr="001D24F3">
        <w:rPr>
          <w:color w:val="auto"/>
          <w:sz w:val="22"/>
          <w:szCs w:val="22"/>
        </w:rPr>
        <w:instrText xml:space="preserve"> SEQ Figure \* ARABIC </w:instrText>
      </w:r>
      <w:r w:rsidRPr="001D24F3">
        <w:rPr>
          <w:color w:val="auto"/>
          <w:sz w:val="22"/>
          <w:szCs w:val="22"/>
        </w:rPr>
        <w:fldChar w:fldCharType="separate"/>
      </w:r>
      <w:r w:rsidR="005B207F">
        <w:rPr>
          <w:noProof/>
          <w:color w:val="auto"/>
          <w:sz w:val="22"/>
          <w:szCs w:val="22"/>
        </w:rPr>
        <w:t>4</w:t>
      </w:r>
      <w:r w:rsidRPr="001D24F3">
        <w:rPr>
          <w:color w:val="auto"/>
          <w:sz w:val="22"/>
          <w:szCs w:val="22"/>
        </w:rPr>
        <w:fldChar w:fldCharType="end"/>
      </w:r>
      <w:r w:rsidR="00F74DA2" w:rsidRPr="001D24F3">
        <w:rPr>
          <w:color w:val="auto"/>
          <w:sz w:val="22"/>
          <w:szCs w:val="22"/>
        </w:rPr>
        <w:t xml:space="preserve">: </w:t>
      </w:r>
      <w:r w:rsidRPr="001D24F3">
        <w:rPr>
          <w:color w:val="auto"/>
          <w:sz w:val="22"/>
          <w:szCs w:val="22"/>
        </w:rPr>
        <w:t>Indicators sound fiscal management</w:t>
      </w:r>
    </w:p>
    <w:p w:rsidR="00884398" w:rsidRDefault="00B47441" w:rsidP="00B47441">
      <w:pPr>
        <w:spacing w:after="0" w:line="240" w:lineRule="auto"/>
        <w:contextualSpacing/>
        <w:mirrorIndents/>
        <w:rPr>
          <w:b/>
          <w:bCs/>
          <w:sz w:val="24"/>
          <w:szCs w:val="24"/>
        </w:rPr>
      </w:pPr>
      <w:r w:rsidRPr="00B47441">
        <w:rPr>
          <w:noProof/>
        </w:rPr>
        <w:drawing>
          <wp:inline distT="0" distB="0" distL="0" distR="0" wp14:anchorId="115127A8" wp14:editId="716B1818">
            <wp:extent cx="2887133" cy="2209800"/>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8055" cy="2210506"/>
                    </a:xfrm>
                    <a:prstGeom prst="rect">
                      <a:avLst/>
                    </a:prstGeom>
                    <a:noFill/>
                    <a:ln>
                      <a:noFill/>
                    </a:ln>
                  </pic:spPr>
                </pic:pic>
              </a:graphicData>
            </a:graphic>
          </wp:inline>
        </w:drawing>
      </w:r>
      <w:r w:rsidR="00053052">
        <w:rPr>
          <w:b/>
          <w:bCs/>
          <w:sz w:val="24"/>
          <w:szCs w:val="24"/>
        </w:rPr>
        <w:t xml:space="preserve"> </w:t>
      </w:r>
      <w:r w:rsidRPr="00B47441">
        <w:rPr>
          <w:noProof/>
        </w:rPr>
        <w:drawing>
          <wp:inline distT="0" distB="0" distL="0" distR="0" wp14:anchorId="3488362C" wp14:editId="68930D93">
            <wp:extent cx="2921000" cy="2201333"/>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18607" cy="2199530"/>
                    </a:xfrm>
                    <a:prstGeom prst="rect">
                      <a:avLst/>
                    </a:prstGeom>
                    <a:noFill/>
                    <a:ln>
                      <a:noFill/>
                    </a:ln>
                  </pic:spPr>
                </pic:pic>
              </a:graphicData>
            </a:graphic>
          </wp:inline>
        </w:drawing>
      </w:r>
    </w:p>
    <w:p w:rsidR="00D75337" w:rsidRDefault="00D75337" w:rsidP="00D75337">
      <w:pPr>
        <w:spacing w:after="0" w:line="240" w:lineRule="auto"/>
        <w:contextualSpacing/>
        <w:mirrorIndents/>
        <w:jc w:val="both"/>
        <w:rPr>
          <w:rFonts w:cs="Calibri"/>
          <w:bCs/>
        </w:rPr>
      </w:pPr>
      <w:bookmarkStart w:id="5" w:name="_Ref309060966"/>
      <w:r>
        <w:rPr>
          <w:rFonts w:cs="Calibri"/>
          <w:bCs/>
        </w:rPr>
        <w:t>Source:  Tanzania authorities, IMF, and World Bank preliminary estimates</w:t>
      </w:r>
    </w:p>
    <w:p w:rsidR="00DA05F0" w:rsidRDefault="00DA05F0" w:rsidP="009A6254">
      <w:pPr>
        <w:spacing w:after="0" w:line="240" w:lineRule="auto"/>
        <w:contextualSpacing/>
        <w:mirrorIndents/>
        <w:jc w:val="both"/>
        <w:rPr>
          <w:rFonts w:cs="Times New Roman"/>
          <w:sz w:val="24"/>
          <w:szCs w:val="24"/>
        </w:rPr>
      </w:pPr>
    </w:p>
    <w:p w:rsidR="000505D8" w:rsidRDefault="000505D8" w:rsidP="000505D8">
      <w:pPr>
        <w:numPr>
          <w:ilvl w:val="0"/>
          <w:numId w:val="30"/>
        </w:numPr>
        <w:tabs>
          <w:tab w:val="num" w:pos="720"/>
        </w:tabs>
        <w:spacing w:after="0" w:line="240" w:lineRule="auto"/>
        <w:ind w:left="0" w:firstLine="0"/>
        <w:contextualSpacing/>
        <w:mirrorIndents/>
        <w:jc w:val="both"/>
        <w:rPr>
          <w:rFonts w:cs="Times New Roman"/>
          <w:sz w:val="24"/>
          <w:szCs w:val="24"/>
        </w:rPr>
      </w:pPr>
      <w:r w:rsidRPr="00601605">
        <w:rPr>
          <w:rFonts w:cs="Times New Roman"/>
          <w:b/>
          <w:i/>
          <w:sz w:val="24"/>
          <w:szCs w:val="24"/>
        </w:rPr>
        <w:t xml:space="preserve">Public Expenditures: </w:t>
      </w:r>
      <w:r w:rsidRPr="00601605">
        <w:rPr>
          <w:rFonts w:cs="Times New Roman"/>
          <w:b/>
          <w:sz w:val="24"/>
          <w:szCs w:val="24"/>
        </w:rPr>
        <w:t>Overall the public expenditure to GDP ratio increased to 2</w:t>
      </w:r>
      <w:r>
        <w:rPr>
          <w:rFonts w:cs="Times New Roman"/>
          <w:b/>
          <w:sz w:val="24"/>
          <w:szCs w:val="24"/>
        </w:rPr>
        <w:t>7.</w:t>
      </w:r>
      <w:r w:rsidRPr="00601605">
        <w:rPr>
          <w:rFonts w:cs="Times New Roman"/>
          <w:b/>
          <w:sz w:val="24"/>
          <w:szCs w:val="24"/>
        </w:rPr>
        <w:t>8 percent in 2012/13, about 1.5 percent higher than in 2011/12</w:t>
      </w:r>
      <w:r w:rsidRPr="00601605">
        <w:rPr>
          <w:rFonts w:cs="Times New Roman"/>
          <w:sz w:val="24"/>
          <w:szCs w:val="24"/>
        </w:rPr>
        <w:t xml:space="preserve">. The increased public spending was mostly directed to recurrent spending which increased its share to </w:t>
      </w:r>
      <w:r w:rsidR="009E4099">
        <w:rPr>
          <w:rFonts w:cs="Times New Roman"/>
          <w:sz w:val="24"/>
          <w:szCs w:val="24"/>
        </w:rPr>
        <w:t>71</w:t>
      </w:r>
      <w:r w:rsidRPr="00601605">
        <w:rPr>
          <w:rFonts w:cs="Times New Roman"/>
          <w:sz w:val="24"/>
          <w:szCs w:val="24"/>
        </w:rPr>
        <w:t xml:space="preserve"> percent, </w:t>
      </w:r>
      <w:r w:rsidR="009E4099">
        <w:rPr>
          <w:rFonts w:cs="Times New Roman"/>
          <w:sz w:val="24"/>
          <w:szCs w:val="24"/>
        </w:rPr>
        <w:t>2</w:t>
      </w:r>
      <w:r w:rsidRPr="00601605">
        <w:rPr>
          <w:rFonts w:cs="Times New Roman"/>
          <w:sz w:val="24"/>
          <w:szCs w:val="24"/>
        </w:rPr>
        <w:t xml:space="preserve"> percent higher than in 2011/12. Conversely development spending witnessed its share declining to </w:t>
      </w:r>
      <w:r w:rsidR="009E4099">
        <w:rPr>
          <w:rFonts w:cs="Times New Roman"/>
          <w:sz w:val="24"/>
          <w:szCs w:val="24"/>
        </w:rPr>
        <w:t>29</w:t>
      </w:r>
      <w:r w:rsidRPr="00601605">
        <w:rPr>
          <w:rFonts w:cs="Times New Roman"/>
          <w:sz w:val="24"/>
          <w:szCs w:val="24"/>
        </w:rPr>
        <w:t xml:space="preserve"> percent, down by </w:t>
      </w:r>
      <w:r w:rsidR="00B22338">
        <w:rPr>
          <w:rFonts w:cs="Times New Roman"/>
          <w:sz w:val="24"/>
          <w:szCs w:val="24"/>
        </w:rPr>
        <w:t>2</w:t>
      </w:r>
      <w:r w:rsidRPr="00601605">
        <w:rPr>
          <w:rFonts w:cs="Times New Roman"/>
          <w:sz w:val="24"/>
          <w:szCs w:val="24"/>
        </w:rPr>
        <w:t xml:space="preserve"> percent compared to 2011/12. These new trends conflict with the </w:t>
      </w:r>
      <w:r>
        <w:rPr>
          <w:rFonts w:cs="Times New Roman"/>
          <w:sz w:val="24"/>
          <w:szCs w:val="24"/>
        </w:rPr>
        <w:t>G</w:t>
      </w:r>
      <w:r w:rsidRPr="00601605">
        <w:rPr>
          <w:rFonts w:cs="Times New Roman"/>
          <w:sz w:val="24"/>
          <w:szCs w:val="24"/>
        </w:rPr>
        <w:t xml:space="preserve">overnment commitment of increasing development spending, especially in infrastructure and social services, through the FYDP and the BRN. </w:t>
      </w:r>
    </w:p>
    <w:p w:rsidR="000505D8" w:rsidRDefault="000505D8" w:rsidP="009A6254">
      <w:pPr>
        <w:spacing w:after="0" w:line="240" w:lineRule="auto"/>
        <w:contextualSpacing/>
        <w:mirrorIndents/>
        <w:jc w:val="both"/>
        <w:rPr>
          <w:rFonts w:cs="Times New Roman"/>
          <w:sz w:val="24"/>
          <w:szCs w:val="24"/>
        </w:rPr>
      </w:pPr>
    </w:p>
    <w:p w:rsidR="004937F4" w:rsidRPr="003C5CED" w:rsidRDefault="004A62CD" w:rsidP="004937F4">
      <w:pPr>
        <w:numPr>
          <w:ilvl w:val="0"/>
          <w:numId w:val="30"/>
        </w:numPr>
        <w:tabs>
          <w:tab w:val="num" w:pos="720"/>
        </w:tabs>
        <w:spacing w:after="0" w:line="240" w:lineRule="auto"/>
        <w:ind w:left="0" w:firstLine="0"/>
        <w:contextualSpacing/>
        <w:mirrorIndents/>
        <w:jc w:val="both"/>
        <w:rPr>
          <w:rFonts w:cs="Times New Roman"/>
          <w:sz w:val="24"/>
          <w:szCs w:val="24"/>
        </w:rPr>
      </w:pPr>
      <w:r w:rsidRPr="003C5CED">
        <w:rPr>
          <w:b/>
          <w:bCs/>
          <w:sz w:val="24"/>
          <w:szCs w:val="24"/>
        </w:rPr>
        <w:t>It is worth noting that t</w:t>
      </w:r>
      <w:r w:rsidR="00D07505" w:rsidRPr="003C5CED">
        <w:rPr>
          <w:b/>
          <w:bCs/>
          <w:sz w:val="24"/>
          <w:szCs w:val="24"/>
        </w:rPr>
        <w:t>here is significant variation in the public expenditure data</w:t>
      </w:r>
      <w:r w:rsidR="00F76C84" w:rsidRPr="003C5CED">
        <w:rPr>
          <w:b/>
          <w:bCs/>
          <w:sz w:val="24"/>
          <w:szCs w:val="24"/>
        </w:rPr>
        <w:t xml:space="preserve"> obtained from </w:t>
      </w:r>
      <w:r w:rsidR="00D07505" w:rsidRPr="003C5CED">
        <w:rPr>
          <w:b/>
          <w:bCs/>
          <w:sz w:val="24"/>
          <w:szCs w:val="24"/>
        </w:rPr>
        <w:t>different reports produced by the MoF</w:t>
      </w:r>
      <w:r w:rsidR="00F76C84" w:rsidRPr="003C5CED">
        <w:rPr>
          <w:b/>
          <w:bCs/>
          <w:sz w:val="24"/>
          <w:szCs w:val="24"/>
        </w:rPr>
        <w:t>.</w:t>
      </w:r>
      <w:r w:rsidR="00D07505" w:rsidRPr="003C5CED">
        <w:rPr>
          <w:bCs/>
          <w:sz w:val="24"/>
          <w:szCs w:val="24"/>
        </w:rPr>
        <w:t xml:space="preserve"> </w:t>
      </w:r>
      <w:r w:rsidR="00AA6622">
        <w:rPr>
          <w:bCs/>
          <w:sz w:val="24"/>
          <w:szCs w:val="24"/>
        </w:rPr>
        <w:t xml:space="preserve"> </w:t>
      </w:r>
      <w:r w:rsidR="00F76C84" w:rsidRPr="003C5CED">
        <w:rPr>
          <w:bCs/>
          <w:sz w:val="24"/>
          <w:szCs w:val="24"/>
        </w:rPr>
        <w:t xml:space="preserve">For example, </w:t>
      </w:r>
      <w:r w:rsidR="004937F4" w:rsidRPr="003C5CED">
        <w:rPr>
          <w:bCs/>
          <w:sz w:val="24"/>
          <w:szCs w:val="24"/>
        </w:rPr>
        <w:t xml:space="preserve">data from the CGO report shows higher level of public spending compared to the data generated from the IFMS by around </w:t>
      </w:r>
      <w:r w:rsidR="00AA6622">
        <w:rPr>
          <w:bCs/>
          <w:sz w:val="24"/>
          <w:szCs w:val="24"/>
        </w:rPr>
        <w:t>one</w:t>
      </w:r>
      <w:r w:rsidR="004937F4" w:rsidRPr="003C5CED">
        <w:rPr>
          <w:bCs/>
          <w:sz w:val="24"/>
          <w:szCs w:val="24"/>
        </w:rPr>
        <w:t xml:space="preserve"> percent of GDP</w:t>
      </w:r>
      <w:r w:rsidR="00C3739D" w:rsidRPr="003C5CED">
        <w:rPr>
          <w:bCs/>
          <w:sz w:val="24"/>
          <w:szCs w:val="24"/>
        </w:rPr>
        <w:t xml:space="preserve"> (</w:t>
      </w:r>
      <w:r w:rsidR="00C3739D" w:rsidRPr="003C5CED">
        <w:rPr>
          <w:bCs/>
          <w:sz w:val="24"/>
          <w:szCs w:val="24"/>
        </w:rPr>
        <w:fldChar w:fldCharType="begin"/>
      </w:r>
      <w:r w:rsidR="00C3739D" w:rsidRPr="003C5CED">
        <w:rPr>
          <w:bCs/>
          <w:sz w:val="24"/>
          <w:szCs w:val="24"/>
        </w:rPr>
        <w:instrText xml:space="preserve"> REF _Ref370306572 \h </w:instrText>
      </w:r>
      <w:r w:rsidR="003C5CED">
        <w:rPr>
          <w:bCs/>
          <w:sz w:val="24"/>
          <w:szCs w:val="24"/>
        </w:rPr>
        <w:instrText xml:space="preserve"> \* MERGEFORMAT </w:instrText>
      </w:r>
      <w:r w:rsidR="00C3739D" w:rsidRPr="003C5CED">
        <w:rPr>
          <w:bCs/>
          <w:sz w:val="24"/>
          <w:szCs w:val="24"/>
        </w:rPr>
      </w:r>
      <w:r w:rsidR="00C3739D" w:rsidRPr="003C5CED">
        <w:rPr>
          <w:bCs/>
          <w:sz w:val="24"/>
          <w:szCs w:val="24"/>
        </w:rPr>
        <w:fldChar w:fldCharType="separate"/>
      </w:r>
      <w:r w:rsidR="005B207F" w:rsidRPr="005B207F">
        <w:rPr>
          <w:rFonts w:cs="Times New Roman"/>
          <w:sz w:val="24"/>
          <w:szCs w:val="24"/>
        </w:rPr>
        <w:t xml:space="preserve">Table </w:t>
      </w:r>
      <w:r w:rsidR="005B207F" w:rsidRPr="005B207F">
        <w:rPr>
          <w:rFonts w:cs="Times New Roman"/>
          <w:noProof/>
          <w:sz w:val="24"/>
          <w:szCs w:val="24"/>
        </w:rPr>
        <w:t>3</w:t>
      </w:r>
      <w:r w:rsidR="00C3739D" w:rsidRPr="003C5CED">
        <w:rPr>
          <w:bCs/>
          <w:sz w:val="24"/>
          <w:szCs w:val="24"/>
        </w:rPr>
        <w:fldChar w:fldCharType="end"/>
      </w:r>
      <w:r w:rsidR="00C3739D" w:rsidRPr="003C5CED">
        <w:rPr>
          <w:bCs/>
          <w:sz w:val="24"/>
          <w:szCs w:val="24"/>
        </w:rPr>
        <w:t>)</w:t>
      </w:r>
      <w:r w:rsidR="004937F4" w:rsidRPr="003C5CED">
        <w:rPr>
          <w:bCs/>
          <w:sz w:val="24"/>
          <w:szCs w:val="24"/>
        </w:rPr>
        <w:t xml:space="preserve">. </w:t>
      </w:r>
      <w:r w:rsidR="00F76C84" w:rsidRPr="003C5CED">
        <w:rPr>
          <w:bCs/>
          <w:sz w:val="24"/>
          <w:szCs w:val="24"/>
        </w:rPr>
        <w:t>The major variation</w:t>
      </w:r>
      <w:r w:rsidR="00184ECC">
        <w:rPr>
          <w:bCs/>
          <w:sz w:val="24"/>
          <w:szCs w:val="24"/>
        </w:rPr>
        <w:t>s</w:t>
      </w:r>
      <w:r w:rsidR="00F76C84" w:rsidRPr="003C5CED">
        <w:rPr>
          <w:bCs/>
          <w:sz w:val="24"/>
          <w:szCs w:val="24"/>
        </w:rPr>
        <w:t xml:space="preserve"> between the</w:t>
      </w:r>
      <w:r w:rsidR="00AA6622">
        <w:rPr>
          <w:bCs/>
          <w:sz w:val="24"/>
          <w:szCs w:val="24"/>
        </w:rPr>
        <w:t>se</w:t>
      </w:r>
      <w:r w:rsidR="00F76C84" w:rsidRPr="003C5CED">
        <w:rPr>
          <w:bCs/>
          <w:sz w:val="24"/>
          <w:szCs w:val="24"/>
        </w:rPr>
        <w:t xml:space="preserve"> two </w:t>
      </w:r>
      <w:r w:rsidR="00912A91" w:rsidRPr="003C5CED">
        <w:rPr>
          <w:bCs/>
          <w:sz w:val="24"/>
          <w:szCs w:val="24"/>
        </w:rPr>
        <w:t>data</w:t>
      </w:r>
      <w:r w:rsidR="009C6676" w:rsidRPr="003C5CED">
        <w:rPr>
          <w:bCs/>
          <w:sz w:val="24"/>
          <w:szCs w:val="24"/>
        </w:rPr>
        <w:t xml:space="preserve"> sources</w:t>
      </w:r>
      <w:r w:rsidR="00912A91" w:rsidRPr="003C5CED">
        <w:rPr>
          <w:bCs/>
          <w:sz w:val="24"/>
          <w:szCs w:val="24"/>
        </w:rPr>
        <w:t xml:space="preserve"> </w:t>
      </w:r>
      <w:r w:rsidR="00F76C84" w:rsidRPr="003C5CED">
        <w:rPr>
          <w:bCs/>
          <w:sz w:val="24"/>
          <w:szCs w:val="24"/>
        </w:rPr>
        <w:t xml:space="preserve">is on </w:t>
      </w:r>
      <w:r w:rsidR="00184ECC">
        <w:rPr>
          <w:bCs/>
          <w:sz w:val="24"/>
          <w:szCs w:val="24"/>
        </w:rPr>
        <w:t>locally funded expenditures (both recurrent and development)</w:t>
      </w:r>
      <w:r w:rsidR="00F76C84" w:rsidRPr="003C5CED">
        <w:rPr>
          <w:bCs/>
          <w:sz w:val="24"/>
          <w:szCs w:val="24"/>
        </w:rPr>
        <w:t>, which amount</w:t>
      </w:r>
      <w:r w:rsidR="00912A91" w:rsidRPr="003C5CED">
        <w:rPr>
          <w:bCs/>
          <w:sz w:val="24"/>
          <w:szCs w:val="24"/>
        </w:rPr>
        <w:t>s</w:t>
      </w:r>
      <w:r w:rsidR="00F76C84" w:rsidRPr="003C5CED">
        <w:rPr>
          <w:bCs/>
          <w:sz w:val="24"/>
          <w:szCs w:val="24"/>
        </w:rPr>
        <w:t xml:space="preserve"> to 1.</w:t>
      </w:r>
      <w:r w:rsidR="00184ECC">
        <w:rPr>
          <w:bCs/>
          <w:sz w:val="24"/>
          <w:szCs w:val="24"/>
        </w:rPr>
        <w:t>2</w:t>
      </w:r>
      <w:r w:rsidR="00F76C84" w:rsidRPr="003C5CED">
        <w:rPr>
          <w:bCs/>
          <w:sz w:val="24"/>
          <w:szCs w:val="24"/>
        </w:rPr>
        <w:t xml:space="preserve"> percent of GDP worth of public spending. </w:t>
      </w:r>
      <w:r w:rsidR="00184ECC">
        <w:rPr>
          <w:bCs/>
          <w:sz w:val="24"/>
          <w:szCs w:val="24"/>
        </w:rPr>
        <w:t>I</w:t>
      </w:r>
      <w:r w:rsidR="00F76C84" w:rsidRPr="003C5CED">
        <w:rPr>
          <w:bCs/>
          <w:sz w:val="24"/>
          <w:szCs w:val="24"/>
        </w:rPr>
        <w:t xml:space="preserve">t is not clear what explains </w:t>
      </w:r>
      <w:r w:rsidR="00184ECC">
        <w:rPr>
          <w:bCs/>
          <w:sz w:val="24"/>
          <w:szCs w:val="24"/>
        </w:rPr>
        <w:t xml:space="preserve">this </w:t>
      </w:r>
      <w:r w:rsidR="00F76C84" w:rsidRPr="003C5CED">
        <w:rPr>
          <w:bCs/>
          <w:sz w:val="24"/>
          <w:szCs w:val="24"/>
        </w:rPr>
        <w:t xml:space="preserve">variation </w:t>
      </w:r>
      <w:r w:rsidR="00AA6622">
        <w:rPr>
          <w:bCs/>
          <w:sz w:val="24"/>
          <w:szCs w:val="24"/>
        </w:rPr>
        <w:t>i</w:t>
      </w:r>
      <w:r w:rsidR="00C3739D" w:rsidRPr="003C5CED">
        <w:rPr>
          <w:bCs/>
          <w:sz w:val="24"/>
          <w:szCs w:val="24"/>
        </w:rPr>
        <w:t>n locally funded dev</w:t>
      </w:r>
      <w:r w:rsidR="00AA6622">
        <w:rPr>
          <w:bCs/>
          <w:sz w:val="24"/>
          <w:szCs w:val="24"/>
        </w:rPr>
        <w:t>elopment</w:t>
      </w:r>
      <w:r w:rsidR="00C3739D" w:rsidRPr="003C5CED">
        <w:rPr>
          <w:bCs/>
          <w:sz w:val="24"/>
          <w:szCs w:val="24"/>
        </w:rPr>
        <w:t xml:space="preserve">. </w:t>
      </w:r>
      <w:r w:rsidR="00184ECC">
        <w:rPr>
          <w:bCs/>
          <w:sz w:val="24"/>
          <w:szCs w:val="24"/>
        </w:rPr>
        <w:t>Moreover, these</w:t>
      </w:r>
      <w:r w:rsidR="00C3739D" w:rsidRPr="003C5CED">
        <w:rPr>
          <w:bCs/>
          <w:sz w:val="24"/>
          <w:szCs w:val="24"/>
        </w:rPr>
        <w:t xml:space="preserve"> variations </w:t>
      </w:r>
      <w:r w:rsidR="004937F4" w:rsidRPr="003C5CED">
        <w:rPr>
          <w:bCs/>
          <w:sz w:val="24"/>
          <w:szCs w:val="24"/>
        </w:rPr>
        <w:t>suggest</w:t>
      </w:r>
      <w:r w:rsidR="00C3739D" w:rsidRPr="003C5CED">
        <w:rPr>
          <w:bCs/>
          <w:sz w:val="24"/>
          <w:szCs w:val="24"/>
        </w:rPr>
        <w:t xml:space="preserve"> </w:t>
      </w:r>
      <w:r w:rsidR="00D269E8">
        <w:rPr>
          <w:bCs/>
          <w:sz w:val="24"/>
          <w:szCs w:val="24"/>
        </w:rPr>
        <w:t xml:space="preserve">that </w:t>
      </w:r>
      <w:r w:rsidR="00D269E8" w:rsidRPr="003C5CED">
        <w:rPr>
          <w:bCs/>
          <w:sz w:val="24"/>
          <w:szCs w:val="24"/>
        </w:rPr>
        <w:t>a</w:t>
      </w:r>
      <w:r w:rsidR="00AA6622">
        <w:rPr>
          <w:bCs/>
          <w:sz w:val="24"/>
          <w:szCs w:val="24"/>
        </w:rPr>
        <w:t xml:space="preserve"> </w:t>
      </w:r>
      <w:r w:rsidR="0048694B" w:rsidRPr="003C5CED">
        <w:rPr>
          <w:bCs/>
          <w:sz w:val="24"/>
          <w:szCs w:val="24"/>
        </w:rPr>
        <w:t xml:space="preserve">significant </w:t>
      </w:r>
      <w:r w:rsidR="00AA6622">
        <w:rPr>
          <w:bCs/>
          <w:sz w:val="24"/>
          <w:szCs w:val="24"/>
        </w:rPr>
        <w:t xml:space="preserve">share of </w:t>
      </w:r>
      <w:r w:rsidR="0048694B" w:rsidRPr="003C5CED">
        <w:rPr>
          <w:bCs/>
          <w:sz w:val="24"/>
          <w:szCs w:val="24"/>
        </w:rPr>
        <w:t xml:space="preserve">public </w:t>
      </w:r>
      <w:r w:rsidR="00D269E8">
        <w:rPr>
          <w:bCs/>
          <w:sz w:val="24"/>
          <w:szCs w:val="24"/>
        </w:rPr>
        <w:t>s</w:t>
      </w:r>
      <w:r w:rsidR="00D269E8" w:rsidRPr="003C5CED">
        <w:rPr>
          <w:bCs/>
          <w:sz w:val="24"/>
          <w:szCs w:val="24"/>
        </w:rPr>
        <w:t>pending is</w:t>
      </w:r>
      <w:r w:rsidR="0048694B" w:rsidRPr="003C5CED">
        <w:rPr>
          <w:bCs/>
          <w:sz w:val="24"/>
          <w:szCs w:val="24"/>
        </w:rPr>
        <w:t xml:space="preserve"> unr</w:t>
      </w:r>
      <w:r w:rsidR="004937F4" w:rsidRPr="003C5CED">
        <w:rPr>
          <w:bCs/>
          <w:sz w:val="24"/>
          <w:szCs w:val="24"/>
        </w:rPr>
        <w:t xml:space="preserve">ecorded </w:t>
      </w:r>
      <w:r w:rsidR="00184ECC">
        <w:rPr>
          <w:bCs/>
          <w:sz w:val="24"/>
          <w:szCs w:val="24"/>
        </w:rPr>
        <w:t xml:space="preserve">in the </w:t>
      </w:r>
      <w:r w:rsidR="004937F4" w:rsidRPr="003C5CED">
        <w:rPr>
          <w:bCs/>
          <w:sz w:val="24"/>
          <w:szCs w:val="24"/>
        </w:rPr>
        <w:t>IFMS</w:t>
      </w:r>
      <w:r w:rsidR="00AA6622">
        <w:rPr>
          <w:bCs/>
          <w:sz w:val="24"/>
          <w:szCs w:val="24"/>
        </w:rPr>
        <w:t xml:space="preserve">. There </w:t>
      </w:r>
      <w:r w:rsidR="0048694B" w:rsidRPr="003C5CED">
        <w:rPr>
          <w:bCs/>
          <w:sz w:val="24"/>
          <w:szCs w:val="24"/>
        </w:rPr>
        <w:t>is an</w:t>
      </w:r>
      <w:r w:rsidR="004937F4" w:rsidRPr="003C5CED">
        <w:rPr>
          <w:bCs/>
          <w:sz w:val="24"/>
          <w:szCs w:val="24"/>
        </w:rPr>
        <w:t xml:space="preserve"> urgent need for improving the ability of the IFMS to capture all public spending.</w:t>
      </w:r>
    </w:p>
    <w:p w:rsidR="009A6254" w:rsidRDefault="009A6254" w:rsidP="009A6254">
      <w:pPr>
        <w:spacing w:after="0" w:line="240" w:lineRule="auto"/>
        <w:contextualSpacing/>
        <w:mirrorIndents/>
        <w:jc w:val="both"/>
        <w:rPr>
          <w:rFonts w:cs="Times New Roman"/>
          <w:sz w:val="24"/>
          <w:szCs w:val="24"/>
        </w:rPr>
      </w:pPr>
    </w:p>
    <w:p w:rsidR="009A6254" w:rsidRPr="008138F9" w:rsidRDefault="009A6254" w:rsidP="009B52AE">
      <w:pPr>
        <w:pStyle w:val="Caption"/>
        <w:spacing w:after="120"/>
        <w:jc w:val="center"/>
        <w:rPr>
          <w:rFonts w:cs="Times New Roman"/>
          <w:color w:val="auto"/>
          <w:sz w:val="22"/>
          <w:szCs w:val="22"/>
        </w:rPr>
      </w:pPr>
      <w:bookmarkStart w:id="6" w:name="_Ref370306572"/>
      <w:r w:rsidRPr="008138F9">
        <w:rPr>
          <w:rFonts w:cs="Times New Roman"/>
          <w:color w:val="auto"/>
          <w:sz w:val="22"/>
          <w:szCs w:val="22"/>
        </w:rPr>
        <w:t xml:space="preserve">Table </w:t>
      </w:r>
      <w:r w:rsidRPr="008138F9">
        <w:rPr>
          <w:rFonts w:cs="Times New Roman"/>
          <w:color w:val="auto"/>
          <w:sz w:val="22"/>
          <w:szCs w:val="22"/>
        </w:rPr>
        <w:fldChar w:fldCharType="begin"/>
      </w:r>
      <w:r w:rsidRPr="008138F9">
        <w:rPr>
          <w:rFonts w:cs="Times New Roman"/>
          <w:color w:val="auto"/>
          <w:sz w:val="22"/>
          <w:szCs w:val="22"/>
        </w:rPr>
        <w:instrText xml:space="preserve"> SEQ Table \* ARABIC </w:instrText>
      </w:r>
      <w:r w:rsidRPr="008138F9">
        <w:rPr>
          <w:rFonts w:cs="Times New Roman"/>
          <w:color w:val="auto"/>
          <w:sz w:val="22"/>
          <w:szCs w:val="22"/>
        </w:rPr>
        <w:fldChar w:fldCharType="separate"/>
      </w:r>
      <w:r w:rsidR="005B207F">
        <w:rPr>
          <w:rFonts w:cs="Times New Roman"/>
          <w:noProof/>
          <w:color w:val="auto"/>
          <w:sz w:val="22"/>
          <w:szCs w:val="22"/>
        </w:rPr>
        <w:t>3</w:t>
      </w:r>
      <w:r w:rsidRPr="008138F9">
        <w:rPr>
          <w:rFonts w:cs="Times New Roman"/>
          <w:color w:val="auto"/>
          <w:sz w:val="22"/>
          <w:szCs w:val="22"/>
        </w:rPr>
        <w:fldChar w:fldCharType="end"/>
      </w:r>
      <w:bookmarkEnd w:id="6"/>
      <w:r w:rsidRPr="008138F9">
        <w:rPr>
          <w:rFonts w:cs="Times New Roman"/>
          <w:color w:val="auto"/>
          <w:sz w:val="22"/>
          <w:szCs w:val="22"/>
        </w:rPr>
        <w:t xml:space="preserve">: </w:t>
      </w:r>
      <w:r w:rsidR="00C3739D">
        <w:rPr>
          <w:rFonts w:cs="Times New Roman"/>
          <w:color w:val="auto"/>
          <w:sz w:val="22"/>
          <w:szCs w:val="22"/>
        </w:rPr>
        <w:t>Variations in p</w:t>
      </w:r>
      <w:r w:rsidRPr="008138F9">
        <w:rPr>
          <w:rFonts w:cs="Times New Roman"/>
          <w:color w:val="auto"/>
          <w:sz w:val="22"/>
          <w:szCs w:val="22"/>
        </w:rPr>
        <w:t>ublic spending by MoF different sources</w:t>
      </w:r>
    </w:p>
    <w:p w:rsidR="009A6254" w:rsidRPr="008138F9" w:rsidRDefault="00461047" w:rsidP="009B52AE">
      <w:pPr>
        <w:spacing w:after="0" w:line="240" w:lineRule="auto"/>
        <w:contextualSpacing/>
        <w:mirrorIndents/>
        <w:jc w:val="center"/>
        <w:rPr>
          <w:rFonts w:cs="Times New Roman"/>
          <w:sz w:val="24"/>
          <w:szCs w:val="24"/>
        </w:rPr>
      </w:pPr>
      <w:r w:rsidRPr="00461047">
        <w:rPr>
          <w:noProof/>
        </w:rPr>
        <w:drawing>
          <wp:inline distT="0" distB="0" distL="0" distR="0" wp14:anchorId="6C7CA734" wp14:editId="052757D3">
            <wp:extent cx="4368800" cy="1168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94255" cy="1175208"/>
                    </a:xfrm>
                    <a:prstGeom prst="rect">
                      <a:avLst/>
                    </a:prstGeom>
                    <a:noFill/>
                    <a:ln>
                      <a:noFill/>
                    </a:ln>
                  </pic:spPr>
                </pic:pic>
              </a:graphicData>
            </a:graphic>
          </wp:inline>
        </w:drawing>
      </w:r>
    </w:p>
    <w:p w:rsidR="009A6254" w:rsidRDefault="00DA05F0" w:rsidP="009A6254">
      <w:pPr>
        <w:spacing w:after="0" w:line="240" w:lineRule="auto"/>
        <w:contextualSpacing/>
        <w:mirrorIndents/>
        <w:jc w:val="both"/>
        <w:rPr>
          <w:rFonts w:cs="Times New Roman"/>
          <w:sz w:val="24"/>
          <w:szCs w:val="24"/>
        </w:rPr>
      </w:pPr>
      <w:r>
        <w:rPr>
          <w:rFonts w:cs="Calibri"/>
          <w:bCs/>
        </w:rPr>
        <w:t xml:space="preserve">              </w:t>
      </w:r>
      <w:r w:rsidR="003F31D8">
        <w:rPr>
          <w:rFonts w:cs="Calibri"/>
          <w:bCs/>
        </w:rPr>
        <w:t xml:space="preserve">  </w:t>
      </w:r>
      <w:r w:rsidR="00461047">
        <w:rPr>
          <w:rFonts w:cs="Calibri"/>
          <w:bCs/>
        </w:rPr>
        <w:t xml:space="preserve">       </w:t>
      </w:r>
      <w:r w:rsidR="00184ECC">
        <w:rPr>
          <w:rFonts w:cs="Calibri"/>
          <w:bCs/>
        </w:rPr>
        <w:t xml:space="preserve"> </w:t>
      </w:r>
      <w:r w:rsidR="00061A94">
        <w:rPr>
          <w:rFonts w:cs="Calibri"/>
          <w:bCs/>
        </w:rPr>
        <w:t xml:space="preserve"> </w:t>
      </w:r>
      <w:r>
        <w:rPr>
          <w:rFonts w:cs="Calibri"/>
          <w:bCs/>
        </w:rPr>
        <w:t>Source:</w:t>
      </w:r>
      <w:r w:rsidR="00AA6622">
        <w:rPr>
          <w:rFonts w:cs="Calibri"/>
          <w:bCs/>
        </w:rPr>
        <w:t xml:space="preserve"> </w:t>
      </w:r>
      <w:r w:rsidR="007439EA">
        <w:rPr>
          <w:rFonts w:cs="Calibri"/>
          <w:bCs/>
        </w:rPr>
        <w:t>Ministry of Finance and</w:t>
      </w:r>
      <w:r w:rsidR="007729A5">
        <w:rPr>
          <w:rFonts w:cs="Calibri"/>
          <w:bCs/>
        </w:rPr>
        <w:t xml:space="preserve"> World Bank estimates</w:t>
      </w:r>
    </w:p>
    <w:p w:rsidR="00061A94" w:rsidRPr="00061A94" w:rsidRDefault="00061A94" w:rsidP="00061A94">
      <w:pPr>
        <w:spacing w:after="0" w:line="240" w:lineRule="auto"/>
        <w:contextualSpacing/>
        <w:mirrorIndents/>
        <w:jc w:val="both"/>
        <w:rPr>
          <w:rFonts w:cs="Times New Roman"/>
          <w:b/>
          <w:sz w:val="24"/>
          <w:szCs w:val="24"/>
        </w:rPr>
      </w:pPr>
    </w:p>
    <w:p w:rsidR="00080754" w:rsidRPr="003C5CED" w:rsidRDefault="00636976" w:rsidP="00016CCE">
      <w:pPr>
        <w:numPr>
          <w:ilvl w:val="0"/>
          <w:numId w:val="30"/>
        </w:numPr>
        <w:tabs>
          <w:tab w:val="num" w:pos="720"/>
        </w:tabs>
        <w:spacing w:after="0" w:line="240" w:lineRule="auto"/>
        <w:ind w:left="0" w:firstLine="0"/>
        <w:contextualSpacing/>
        <w:mirrorIndents/>
        <w:jc w:val="both"/>
        <w:rPr>
          <w:rFonts w:cs="Times New Roman"/>
          <w:b/>
          <w:sz w:val="24"/>
          <w:szCs w:val="24"/>
        </w:rPr>
      </w:pPr>
      <w:r w:rsidRPr="003C5CED">
        <w:rPr>
          <w:rFonts w:cs="Times New Roman"/>
          <w:b/>
          <w:i/>
          <w:sz w:val="24"/>
          <w:szCs w:val="24"/>
        </w:rPr>
        <w:t>Recurrent expenditures</w:t>
      </w:r>
      <w:r w:rsidRPr="003C5CED">
        <w:rPr>
          <w:rFonts w:cs="Times New Roman"/>
          <w:b/>
          <w:sz w:val="24"/>
          <w:szCs w:val="24"/>
        </w:rPr>
        <w:t xml:space="preserve">: </w:t>
      </w:r>
      <w:r w:rsidR="00773DAE" w:rsidRPr="00AA6622">
        <w:rPr>
          <w:rFonts w:cs="Times New Roman"/>
          <w:b/>
          <w:sz w:val="24"/>
          <w:szCs w:val="24"/>
        </w:rPr>
        <w:t xml:space="preserve">  </w:t>
      </w:r>
      <w:r w:rsidR="005066F9" w:rsidRPr="00AA6622">
        <w:rPr>
          <w:rFonts w:cs="Times New Roman"/>
          <w:b/>
          <w:sz w:val="24"/>
          <w:szCs w:val="24"/>
        </w:rPr>
        <w:t>R</w:t>
      </w:r>
      <w:r w:rsidR="00773DAE" w:rsidRPr="00AA6622">
        <w:rPr>
          <w:rFonts w:cs="Times New Roman"/>
          <w:b/>
          <w:sz w:val="24"/>
          <w:szCs w:val="24"/>
        </w:rPr>
        <w:t xml:space="preserve">ecurrent spending was </w:t>
      </w:r>
      <w:r w:rsidR="00D269E8" w:rsidRPr="00AA6622">
        <w:rPr>
          <w:rFonts w:cs="Times New Roman"/>
          <w:b/>
          <w:sz w:val="24"/>
          <w:szCs w:val="24"/>
        </w:rPr>
        <w:t>two percent</w:t>
      </w:r>
      <w:r w:rsidR="00773DAE" w:rsidRPr="00AA6622">
        <w:rPr>
          <w:rFonts w:cs="Times New Roman"/>
          <w:b/>
          <w:sz w:val="24"/>
          <w:szCs w:val="24"/>
        </w:rPr>
        <w:t xml:space="preserve"> of GDP higher in 2012/13 </w:t>
      </w:r>
      <w:r w:rsidR="00C06284" w:rsidRPr="00AA6622">
        <w:rPr>
          <w:rFonts w:cs="Times New Roman"/>
          <w:b/>
          <w:sz w:val="24"/>
          <w:szCs w:val="24"/>
        </w:rPr>
        <w:t>than in</w:t>
      </w:r>
      <w:r w:rsidR="00773DAE" w:rsidRPr="00AA6622">
        <w:rPr>
          <w:rFonts w:cs="Times New Roman"/>
          <w:b/>
          <w:sz w:val="24"/>
          <w:szCs w:val="24"/>
        </w:rPr>
        <w:t xml:space="preserve"> 2011/12</w:t>
      </w:r>
      <w:r w:rsidR="00C06284" w:rsidRPr="00AA6622">
        <w:rPr>
          <w:rFonts w:cs="Times New Roman"/>
          <w:b/>
          <w:sz w:val="24"/>
          <w:szCs w:val="24"/>
        </w:rPr>
        <w:t xml:space="preserve">. </w:t>
      </w:r>
      <w:r w:rsidR="00C06284" w:rsidRPr="00B22338">
        <w:rPr>
          <w:rFonts w:cs="Times New Roman"/>
          <w:b/>
          <w:sz w:val="24"/>
          <w:szCs w:val="24"/>
        </w:rPr>
        <w:t>T</w:t>
      </w:r>
      <w:r w:rsidR="00C06284" w:rsidRPr="00B22338">
        <w:rPr>
          <w:rFonts w:cs="Times New Roman"/>
          <w:sz w:val="24"/>
          <w:szCs w:val="24"/>
        </w:rPr>
        <w:t>he</w:t>
      </w:r>
      <w:r w:rsidR="00773DAE" w:rsidRPr="00B22338">
        <w:rPr>
          <w:rFonts w:cs="Times New Roman"/>
          <w:sz w:val="24"/>
          <w:szCs w:val="24"/>
        </w:rPr>
        <w:t xml:space="preserve"> share of recurrent spending in total public spending </w:t>
      </w:r>
      <w:r w:rsidR="00C06284" w:rsidRPr="00B22338">
        <w:rPr>
          <w:rFonts w:cs="Times New Roman"/>
          <w:sz w:val="24"/>
          <w:szCs w:val="24"/>
        </w:rPr>
        <w:t xml:space="preserve">increased </w:t>
      </w:r>
      <w:r w:rsidR="00773DAE" w:rsidRPr="00B22338">
        <w:rPr>
          <w:rFonts w:cs="Times New Roman"/>
          <w:sz w:val="24"/>
          <w:szCs w:val="24"/>
        </w:rPr>
        <w:t xml:space="preserve">to </w:t>
      </w:r>
      <w:r w:rsidR="005066F9" w:rsidRPr="00B22338">
        <w:rPr>
          <w:rFonts w:cs="Times New Roman"/>
          <w:sz w:val="24"/>
          <w:szCs w:val="24"/>
        </w:rPr>
        <w:t>7</w:t>
      </w:r>
      <w:r w:rsidR="00B22338" w:rsidRPr="00B22338">
        <w:rPr>
          <w:rFonts w:cs="Times New Roman"/>
          <w:sz w:val="24"/>
          <w:szCs w:val="24"/>
        </w:rPr>
        <w:t>1</w:t>
      </w:r>
      <w:r w:rsidR="00773DAE" w:rsidRPr="00B22338">
        <w:rPr>
          <w:rFonts w:cs="Times New Roman"/>
          <w:sz w:val="24"/>
          <w:szCs w:val="24"/>
        </w:rPr>
        <w:t xml:space="preserve"> percent</w:t>
      </w:r>
      <w:r w:rsidR="00402486" w:rsidRPr="00B22338">
        <w:rPr>
          <w:rFonts w:cs="Times New Roman"/>
          <w:sz w:val="24"/>
          <w:szCs w:val="24"/>
        </w:rPr>
        <w:t>,</w:t>
      </w:r>
      <w:r w:rsidR="00773DAE" w:rsidRPr="00B22338">
        <w:rPr>
          <w:rFonts w:cs="Times New Roman"/>
          <w:sz w:val="24"/>
          <w:szCs w:val="24"/>
        </w:rPr>
        <w:t xml:space="preserve"> up from </w:t>
      </w:r>
      <w:r w:rsidR="00B22338" w:rsidRPr="00B22338">
        <w:rPr>
          <w:rFonts w:cs="Times New Roman"/>
          <w:sz w:val="24"/>
          <w:szCs w:val="24"/>
        </w:rPr>
        <w:t>69</w:t>
      </w:r>
      <w:r w:rsidR="00B22338">
        <w:rPr>
          <w:rFonts w:cs="Times New Roman"/>
          <w:sz w:val="24"/>
          <w:szCs w:val="24"/>
        </w:rPr>
        <w:t xml:space="preserve"> percent in 2011/12 due to</w:t>
      </w:r>
      <w:r w:rsidR="00402486" w:rsidRPr="00B22338">
        <w:rPr>
          <w:rFonts w:cs="Times New Roman"/>
          <w:sz w:val="24"/>
          <w:szCs w:val="24"/>
        </w:rPr>
        <w:t xml:space="preserve"> increased spending on </w:t>
      </w:r>
      <w:r w:rsidR="00FE5317" w:rsidRPr="00B22338">
        <w:rPr>
          <w:rFonts w:cs="Times New Roman"/>
          <w:sz w:val="24"/>
          <w:szCs w:val="24"/>
        </w:rPr>
        <w:t>wages and salaries a</w:t>
      </w:r>
      <w:r w:rsidR="00B22338">
        <w:rPr>
          <w:rFonts w:cs="Times New Roman"/>
          <w:sz w:val="24"/>
          <w:szCs w:val="24"/>
        </w:rPr>
        <w:t xml:space="preserve">s well as interest payment on </w:t>
      </w:r>
      <w:r w:rsidR="00FE5317" w:rsidRPr="00B22338">
        <w:rPr>
          <w:rFonts w:cs="Times New Roman"/>
          <w:sz w:val="24"/>
          <w:szCs w:val="24"/>
        </w:rPr>
        <w:t xml:space="preserve">domestic </w:t>
      </w:r>
      <w:r w:rsidR="00B22338">
        <w:rPr>
          <w:rFonts w:cs="Times New Roman"/>
          <w:sz w:val="24"/>
          <w:szCs w:val="24"/>
        </w:rPr>
        <w:t>debt</w:t>
      </w:r>
      <w:r w:rsidR="00FE5317" w:rsidRPr="00B22338">
        <w:rPr>
          <w:rFonts w:cs="Times New Roman"/>
          <w:sz w:val="24"/>
          <w:szCs w:val="24"/>
        </w:rPr>
        <w:t xml:space="preserve">. </w:t>
      </w:r>
      <w:r w:rsidR="00773DAE" w:rsidRPr="00B22338">
        <w:rPr>
          <w:rFonts w:cs="Times New Roman"/>
          <w:sz w:val="24"/>
          <w:szCs w:val="24"/>
        </w:rPr>
        <w:t xml:space="preserve">The increased spending on wages and salaries is </w:t>
      </w:r>
      <w:r w:rsidR="00C06284" w:rsidRPr="00B22338">
        <w:rPr>
          <w:rFonts w:cs="Times New Roman"/>
          <w:sz w:val="24"/>
          <w:szCs w:val="24"/>
        </w:rPr>
        <w:t>due to higher than</w:t>
      </w:r>
      <w:r w:rsidR="00773DAE" w:rsidRPr="00B22338">
        <w:rPr>
          <w:rFonts w:cs="Times New Roman"/>
          <w:sz w:val="24"/>
          <w:szCs w:val="24"/>
        </w:rPr>
        <w:t xml:space="preserve"> anticipated recruitment of teachers, security and health staff, in addition to</w:t>
      </w:r>
      <w:r w:rsidR="00C06284" w:rsidRPr="00B22338">
        <w:rPr>
          <w:rFonts w:cs="Times New Roman"/>
          <w:sz w:val="24"/>
          <w:szCs w:val="24"/>
        </w:rPr>
        <w:t xml:space="preserve"> a</w:t>
      </w:r>
      <w:r w:rsidR="00AA6622" w:rsidRPr="00B22338">
        <w:rPr>
          <w:rFonts w:cs="Times New Roman"/>
          <w:sz w:val="24"/>
          <w:szCs w:val="24"/>
        </w:rPr>
        <w:t>n unbudgeted</w:t>
      </w:r>
      <w:r w:rsidR="00773DAE" w:rsidRPr="00B22338">
        <w:rPr>
          <w:rFonts w:cs="Times New Roman"/>
          <w:sz w:val="24"/>
          <w:szCs w:val="24"/>
        </w:rPr>
        <w:t xml:space="preserve"> salary increment of national service staff which </w:t>
      </w:r>
      <w:r w:rsidR="00D269E8" w:rsidRPr="00B22338">
        <w:rPr>
          <w:rFonts w:cs="Times New Roman"/>
          <w:sz w:val="24"/>
          <w:szCs w:val="24"/>
        </w:rPr>
        <w:t>was implemented</w:t>
      </w:r>
      <w:r w:rsidR="00773DAE" w:rsidRPr="00B22338">
        <w:rPr>
          <w:rFonts w:cs="Times New Roman"/>
          <w:sz w:val="24"/>
          <w:szCs w:val="24"/>
        </w:rPr>
        <w:t xml:space="preserve"> during the year.</w:t>
      </w:r>
      <w:r w:rsidR="00773DAE" w:rsidRPr="003C5CED">
        <w:rPr>
          <w:rFonts w:cs="Times New Roman"/>
          <w:sz w:val="24"/>
          <w:szCs w:val="24"/>
        </w:rPr>
        <w:t xml:space="preserve"> </w:t>
      </w:r>
    </w:p>
    <w:p w:rsidR="007146D0" w:rsidRPr="003C5CED" w:rsidRDefault="007146D0" w:rsidP="007146D0">
      <w:pPr>
        <w:spacing w:after="0" w:line="240" w:lineRule="auto"/>
        <w:contextualSpacing/>
        <w:mirrorIndents/>
        <w:jc w:val="both"/>
        <w:rPr>
          <w:rFonts w:cs="Times New Roman"/>
          <w:b/>
          <w:sz w:val="24"/>
          <w:szCs w:val="24"/>
        </w:rPr>
      </w:pPr>
    </w:p>
    <w:p w:rsidR="007146D0" w:rsidRDefault="00402486" w:rsidP="00016CCE">
      <w:pPr>
        <w:numPr>
          <w:ilvl w:val="0"/>
          <w:numId w:val="30"/>
        </w:numPr>
        <w:tabs>
          <w:tab w:val="num" w:pos="720"/>
        </w:tabs>
        <w:spacing w:after="0" w:line="240" w:lineRule="auto"/>
        <w:ind w:left="0" w:firstLine="0"/>
        <w:contextualSpacing/>
        <w:mirrorIndents/>
        <w:jc w:val="both"/>
        <w:rPr>
          <w:rFonts w:cs="Times New Roman"/>
          <w:sz w:val="24"/>
          <w:szCs w:val="24"/>
        </w:rPr>
      </w:pPr>
      <w:r w:rsidRPr="003C5CED">
        <w:rPr>
          <w:rFonts w:cs="Times New Roman"/>
          <w:b/>
          <w:sz w:val="24"/>
          <w:szCs w:val="24"/>
        </w:rPr>
        <w:t>Re</w:t>
      </w:r>
      <w:r w:rsidR="00B77F4C" w:rsidRPr="003C5CED">
        <w:rPr>
          <w:rFonts w:cs="Times New Roman"/>
          <w:b/>
          <w:sz w:val="24"/>
          <w:szCs w:val="24"/>
        </w:rPr>
        <w:t>-</w:t>
      </w:r>
      <w:r w:rsidRPr="003C5CED">
        <w:rPr>
          <w:rFonts w:cs="Times New Roman"/>
          <w:b/>
          <w:sz w:val="24"/>
          <w:szCs w:val="24"/>
        </w:rPr>
        <w:t xml:space="preserve">allocation was a common feature </w:t>
      </w:r>
      <w:r w:rsidR="00B22338">
        <w:rPr>
          <w:rFonts w:cs="Times New Roman"/>
          <w:b/>
          <w:sz w:val="24"/>
          <w:szCs w:val="24"/>
        </w:rPr>
        <w:t xml:space="preserve">during the implementation of the </w:t>
      </w:r>
      <w:r w:rsidRPr="003C5CED">
        <w:rPr>
          <w:rFonts w:cs="Times New Roman"/>
          <w:b/>
          <w:sz w:val="24"/>
          <w:szCs w:val="24"/>
        </w:rPr>
        <w:t>2012/13 recurrent budget</w:t>
      </w:r>
      <w:r w:rsidRPr="003C5CED">
        <w:rPr>
          <w:rFonts w:cs="Times New Roman"/>
          <w:sz w:val="24"/>
          <w:szCs w:val="24"/>
        </w:rPr>
        <w:t>.</w:t>
      </w:r>
      <w:r w:rsidR="007146D0" w:rsidRPr="003C5CED">
        <w:rPr>
          <w:rFonts w:cs="Times New Roman"/>
          <w:sz w:val="24"/>
          <w:szCs w:val="24"/>
        </w:rPr>
        <w:t xml:space="preserve"> </w:t>
      </w:r>
      <w:r w:rsidR="00B22338">
        <w:rPr>
          <w:rFonts w:cs="Times New Roman"/>
          <w:sz w:val="24"/>
          <w:szCs w:val="24"/>
        </w:rPr>
        <w:t>As a result, a</w:t>
      </w:r>
      <w:r w:rsidR="00AA6622">
        <w:rPr>
          <w:rFonts w:cs="Times New Roman"/>
          <w:sz w:val="24"/>
          <w:szCs w:val="24"/>
        </w:rPr>
        <w:t xml:space="preserve">lmost </w:t>
      </w:r>
      <w:r w:rsidR="00164001">
        <w:rPr>
          <w:rFonts w:cs="Times New Roman"/>
          <w:sz w:val="24"/>
          <w:szCs w:val="24"/>
        </w:rPr>
        <w:t xml:space="preserve">½ </w:t>
      </w:r>
      <w:r w:rsidR="00164001" w:rsidRPr="003C5CED">
        <w:rPr>
          <w:rFonts w:cs="Times New Roman"/>
          <w:sz w:val="24"/>
          <w:szCs w:val="24"/>
        </w:rPr>
        <w:t>all</w:t>
      </w:r>
      <w:r w:rsidR="004869BE" w:rsidRPr="003C5CED">
        <w:rPr>
          <w:rFonts w:cs="Times New Roman"/>
          <w:sz w:val="24"/>
          <w:szCs w:val="24"/>
        </w:rPr>
        <w:t xml:space="preserve"> spending agencies (MDAs and regions/LGAs) experienced under spending of the</w:t>
      </w:r>
      <w:r w:rsidR="00AA6622">
        <w:rPr>
          <w:rFonts w:cs="Times New Roman"/>
          <w:sz w:val="24"/>
          <w:szCs w:val="24"/>
        </w:rPr>
        <w:t>ir</w:t>
      </w:r>
      <w:r w:rsidR="004869BE" w:rsidRPr="003C5CED">
        <w:rPr>
          <w:rFonts w:cs="Times New Roman"/>
          <w:sz w:val="24"/>
          <w:szCs w:val="24"/>
        </w:rPr>
        <w:t xml:space="preserve"> recurrent budget that ranges from </w:t>
      </w:r>
      <w:r w:rsidR="000B2E27">
        <w:rPr>
          <w:rFonts w:cs="Times New Roman"/>
          <w:sz w:val="24"/>
          <w:szCs w:val="24"/>
        </w:rPr>
        <w:t>10 t</w:t>
      </w:r>
      <w:r w:rsidR="004869BE" w:rsidRPr="003C5CED">
        <w:rPr>
          <w:rFonts w:cs="Times New Roman"/>
          <w:sz w:val="24"/>
          <w:szCs w:val="24"/>
        </w:rPr>
        <w:t>o 57 percent</w:t>
      </w:r>
      <w:r w:rsidR="00AA6622">
        <w:rPr>
          <w:rFonts w:cs="Times New Roman"/>
          <w:sz w:val="24"/>
          <w:szCs w:val="24"/>
        </w:rPr>
        <w:t xml:space="preserve">. By contrast, </w:t>
      </w:r>
      <w:r w:rsidR="00164001">
        <w:rPr>
          <w:rFonts w:cs="Times New Roman"/>
          <w:sz w:val="24"/>
          <w:szCs w:val="24"/>
        </w:rPr>
        <w:t>only 9 out of 85 spending agencies (MDAs and regions/LGAs)</w:t>
      </w:r>
      <w:r w:rsidR="004869BE" w:rsidRPr="003C5CED">
        <w:rPr>
          <w:rFonts w:cs="Times New Roman"/>
          <w:sz w:val="24"/>
          <w:szCs w:val="24"/>
        </w:rPr>
        <w:t xml:space="preserve"> </w:t>
      </w:r>
      <w:r w:rsidR="00AA6622">
        <w:rPr>
          <w:rFonts w:cs="Times New Roman"/>
          <w:sz w:val="24"/>
          <w:szCs w:val="24"/>
        </w:rPr>
        <w:t xml:space="preserve">over executed their </w:t>
      </w:r>
      <w:r w:rsidR="004869BE" w:rsidRPr="003C5CED">
        <w:rPr>
          <w:rFonts w:cs="Times New Roman"/>
          <w:sz w:val="24"/>
          <w:szCs w:val="24"/>
        </w:rPr>
        <w:t>recurrent budget</w:t>
      </w:r>
      <w:r w:rsidR="00164001">
        <w:rPr>
          <w:rFonts w:cs="Times New Roman"/>
          <w:sz w:val="24"/>
          <w:szCs w:val="24"/>
        </w:rPr>
        <w:t xml:space="preserve"> by 10 to 132 percent</w:t>
      </w:r>
      <w:r w:rsidR="004869BE" w:rsidRPr="003C5CED">
        <w:rPr>
          <w:rFonts w:cs="Times New Roman"/>
          <w:sz w:val="24"/>
          <w:szCs w:val="24"/>
        </w:rPr>
        <w:t xml:space="preserve">. </w:t>
      </w:r>
      <w:r w:rsidR="00834221">
        <w:rPr>
          <w:rFonts w:cs="Times New Roman"/>
          <w:sz w:val="24"/>
          <w:szCs w:val="24"/>
        </w:rPr>
        <w:t>T</w:t>
      </w:r>
      <w:r w:rsidR="004869BE" w:rsidRPr="003C5CED">
        <w:rPr>
          <w:rFonts w:cs="Times New Roman"/>
          <w:sz w:val="24"/>
          <w:szCs w:val="24"/>
        </w:rPr>
        <w:t>he notable under</w:t>
      </w:r>
      <w:r w:rsidR="00A300E7" w:rsidRPr="003C5CED">
        <w:rPr>
          <w:rFonts w:cs="Times New Roman"/>
          <w:sz w:val="24"/>
          <w:szCs w:val="24"/>
        </w:rPr>
        <w:t>-</w:t>
      </w:r>
      <w:r w:rsidR="004869BE" w:rsidRPr="003C5CED">
        <w:rPr>
          <w:rFonts w:cs="Times New Roman"/>
          <w:sz w:val="24"/>
          <w:szCs w:val="24"/>
        </w:rPr>
        <w:t>spenders</w:t>
      </w:r>
      <w:r w:rsidR="00A300E7" w:rsidRPr="003C5CED">
        <w:rPr>
          <w:rStyle w:val="FootnoteReference"/>
          <w:rFonts w:cs="Times New Roman"/>
          <w:sz w:val="24"/>
          <w:szCs w:val="24"/>
        </w:rPr>
        <w:footnoteReference w:id="1"/>
      </w:r>
      <w:r w:rsidR="004869BE" w:rsidRPr="003C5CED">
        <w:rPr>
          <w:rFonts w:cs="Times New Roman"/>
          <w:sz w:val="24"/>
          <w:szCs w:val="24"/>
        </w:rPr>
        <w:t xml:space="preserve"> included the key MKUKUTA MDAs such as  </w:t>
      </w:r>
      <w:proofErr w:type="spellStart"/>
      <w:r w:rsidR="00A004A5" w:rsidRPr="003C5CED">
        <w:rPr>
          <w:rFonts w:cs="Times New Roman"/>
          <w:sz w:val="24"/>
          <w:szCs w:val="24"/>
        </w:rPr>
        <w:t>MoHSW</w:t>
      </w:r>
      <w:proofErr w:type="spellEnd"/>
      <w:r w:rsidR="00A004A5" w:rsidRPr="003C5CED">
        <w:rPr>
          <w:rFonts w:cs="Times New Roman"/>
          <w:sz w:val="24"/>
          <w:szCs w:val="24"/>
        </w:rPr>
        <w:t xml:space="preserve"> (Tsh 29 billion), MAFSC (Tsh 24 billion), MNRT (Tsh 22 billion), MEVT (Tsh 18 billion) and Regions (including LGAs) such Dar </w:t>
      </w:r>
      <w:proofErr w:type="spellStart"/>
      <w:r w:rsidR="00A004A5" w:rsidRPr="003C5CED">
        <w:rPr>
          <w:rFonts w:cs="Times New Roman"/>
          <w:sz w:val="24"/>
          <w:szCs w:val="24"/>
        </w:rPr>
        <w:t>es</w:t>
      </w:r>
      <w:proofErr w:type="spellEnd"/>
      <w:r w:rsidR="00A004A5" w:rsidRPr="003C5CED">
        <w:rPr>
          <w:rFonts w:cs="Times New Roman"/>
          <w:sz w:val="24"/>
          <w:szCs w:val="24"/>
        </w:rPr>
        <w:t xml:space="preserve"> Salaam (Tsh 58 billion), </w:t>
      </w:r>
      <w:proofErr w:type="spellStart"/>
      <w:r w:rsidR="00A004A5" w:rsidRPr="003C5CED">
        <w:rPr>
          <w:rFonts w:cs="Times New Roman"/>
          <w:sz w:val="24"/>
          <w:szCs w:val="24"/>
        </w:rPr>
        <w:t>Geita</w:t>
      </w:r>
      <w:proofErr w:type="spellEnd"/>
      <w:r w:rsidR="00A004A5" w:rsidRPr="003C5CED">
        <w:rPr>
          <w:rFonts w:cs="Times New Roman"/>
          <w:sz w:val="24"/>
          <w:szCs w:val="24"/>
        </w:rPr>
        <w:t xml:space="preserve"> (Tsh 52 billion), </w:t>
      </w:r>
      <w:proofErr w:type="spellStart"/>
      <w:r w:rsidR="00A004A5" w:rsidRPr="003C5CED">
        <w:rPr>
          <w:rFonts w:cs="Times New Roman"/>
          <w:sz w:val="24"/>
          <w:szCs w:val="24"/>
        </w:rPr>
        <w:t>Mbeya</w:t>
      </w:r>
      <w:proofErr w:type="spellEnd"/>
      <w:r w:rsidR="00A004A5" w:rsidRPr="003C5CED">
        <w:rPr>
          <w:rFonts w:cs="Times New Roman"/>
          <w:sz w:val="24"/>
          <w:szCs w:val="24"/>
        </w:rPr>
        <w:t xml:space="preserve"> (Tsh 18 billion), </w:t>
      </w:r>
      <w:proofErr w:type="spellStart"/>
      <w:r w:rsidR="00A004A5" w:rsidRPr="003C5CED">
        <w:rPr>
          <w:rFonts w:cs="Times New Roman"/>
          <w:sz w:val="24"/>
          <w:szCs w:val="24"/>
        </w:rPr>
        <w:t>Kagera</w:t>
      </w:r>
      <w:proofErr w:type="spellEnd"/>
      <w:r w:rsidR="00A004A5" w:rsidRPr="003C5CED">
        <w:rPr>
          <w:rFonts w:cs="Times New Roman"/>
          <w:sz w:val="24"/>
          <w:szCs w:val="24"/>
        </w:rPr>
        <w:t xml:space="preserve"> (Tsh 18 billion).</w:t>
      </w:r>
      <w:r w:rsidR="00C65CCE" w:rsidRPr="003C5CED">
        <w:rPr>
          <w:rFonts w:cs="Times New Roman"/>
          <w:sz w:val="24"/>
          <w:szCs w:val="24"/>
        </w:rPr>
        <w:t xml:space="preserve"> Most of the under spending w</w:t>
      </w:r>
      <w:r w:rsidR="00C06284" w:rsidRPr="003C5CED">
        <w:rPr>
          <w:rFonts w:cs="Times New Roman"/>
          <w:sz w:val="24"/>
          <w:szCs w:val="24"/>
        </w:rPr>
        <w:t>as</w:t>
      </w:r>
      <w:r w:rsidR="00C65CCE" w:rsidRPr="003C5CED">
        <w:rPr>
          <w:rFonts w:cs="Times New Roman"/>
          <w:sz w:val="24"/>
          <w:szCs w:val="24"/>
        </w:rPr>
        <w:t xml:space="preserve"> made through expenditure cuts in non-priority current spending items under goods and services categories. </w:t>
      </w:r>
      <w:r w:rsidR="00A004A5" w:rsidRPr="003C5CED">
        <w:rPr>
          <w:rFonts w:cs="Times New Roman"/>
          <w:sz w:val="24"/>
          <w:szCs w:val="24"/>
        </w:rPr>
        <w:t xml:space="preserve"> </w:t>
      </w:r>
      <w:r w:rsidR="00C06284" w:rsidRPr="003C5CED">
        <w:rPr>
          <w:rFonts w:cs="Times New Roman"/>
          <w:sz w:val="24"/>
          <w:szCs w:val="24"/>
        </w:rPr>
        <w:t>Notable</w:t>
      </w:r>
      <w:r w:rsidR="00A300E7" w:rsidRPr="003C5CED">
        <w:rPr>
          <w:rFonts w:cs="Times New Roman"/>
          <w:sz w:val="24"/>
          <w:szCs w:val="24"/>
        </w:rPr>
        <w:t xml:space="preserve"> </w:t>
      </w:r>
      <w:r w:rsidR="00D269E8">
        <w:rPr>
          <w:rFonts w:cs="Times New Roman"/>
          <w:sz w:val="24"/>
          <w:szCs w:val="24"/>
        </w:rPr>
        <w:t>over</w:t>
      </w:r>
      <w:r w:rsidR="00A300E7" w:rsidRPr="003C5CED">
        <w:rPr>
          <w:rFonts w:cs="Times New Roman"/>
          <w:sz w:val="24"/>
          <w:szCs w:val="24"/>
        </w:rPr>
        <w:t>-</w:t>
      </w:r>
      <w:r w:rsidR="00A004A5" w:rsidRPr="003C5CED">
        <w:rPr>
          <w:rFonts w:cs="Times New Roman"/>
          <w:sz w:val="24"/>
          <w:szCs w:val="24"/>
        </w:rPr>
        <w:t>spenders include</w:t>
      </w:r>
      <w:r w:rsidR="00C06284" w:rsidRPr="003C5CED">
        <w:rPr>
          <w:rFonts w:cs="Times New Roman"/>
          <w:sz w:val="24"/>
          <w:szCs w:val="24"/>
        </w:rPr>
        <w:t>d</w:t>
      </w:r>
      <w:r w:rsidR="00A004A5" w:rsidRPr="003C5CED">
        <w:rPr>
          <w:rFonts w:cs="Times New Roman"/>
          <w:sz w:val="24"/>
          <w:szCs w:val="24"/>
        </w:rPr>
        <w:t xml:space="preserve"> MDAs such as </w:t>
      </w:r>
      <w:r w:rsidR="00C65CCE" w:rsidRPr="003C5CED">
        <w:rPr>
          <w:rFonts w:cs="Times New Roman"/>
          <w:sz w:val="24"/>
          <w:szCs w:val="24"/>
        </w:rPr>
        <w:t>Defen</w:t>
      </w:r>
      <w:r w:rsidR="00AA6622">
        <w:rPr>
          <w:rFonts w:cs="Times New Roman"/>
          <w:sz w:val="24"/>
          <w:szCs w:val="24"/>
        </w:rPr>
        <w:t>s</w:t>
      </w:r>
      <w:r w:rsidR="00C65CCE" w:rsidRPr="003C5CED">
        <w:rPr>
          <w:rFonts w:cs="Times New Roman"/>
          <w:sz w:val="24"/>
          <w:szCs w:val="24"/>
        </w:rPr>
        <w:t>e (</w:t>
      </w:r>
      <w:proofErr w:type="gramStart"/>
      <w:r w:rsidR="00C65CCE" w:rsidRPr="003C5CED">
        <w:rPr>
          <w:rFonts w:cs="Times New Roman"/>
          <w:sz w:val="24"/>
          <w:szCs w:val="24"/>
        </w:rPr>
        <w:t>Tsh</w:t>
      </w:r>
      <w:proofErr w:type="gramEnd"/>
      <w:r w:rsidR="00C65CCE" w:rsidRPr="003C5CED">
        <w:rPr>
          <w:rFonts w:cs="Times New Roman"/>
          <w:sz w:val="24"/>
          <w:szCs w:val="24"/>
        </w:rPr>
        <w:t xml:space="preserve"> 90 billion), MFAIC (Tsh 45 billion), National Service (Tsh 34 billion) and Police (Tsh 16 billion). Most of the overspending was made through </w:t>
      </w:r>
      <w:r w:rsidR="00AA6622">
        <w:rPr>
          <w:rFonts w:cs="Times New Roman"/>
          <w:sz w:val="24"/>
          <w:szCs w:val="24"/>
        </w:rPr>
        <w:t xml:space="preserve">higher </w:t>
      </w:r>
      <w:r w:rsidR="00C65CCE" w:rsidRPr="003C5CED">
        <w:rPr>
          <w:rFonts w:cs="Times New Roman"/>
          <w:sz w:val="24"/>
          <w:szCs w:val="24"/>
        </w:rPr>
        <w:t>wages and salaries.</w:t>
      </w:r>
    </w:p>
    <w:p w:rsidR="008459B7" w:rsidRPr="003C5CED" w:rsidRDefault="008459B7" w:rsidP="008459B7">
      <w:pPr>
        <w:spacing w:after="0" w:line="240" w:lineRule="auto"/>
        <w:contextualSpacing/>
        <w:mirrorIndents/>
        <w:jc w:val="both"/>
        <w:rPr>
          <w:rFonts w:cs="Times New Roman"/>
          <w:sz w:val="24"/>
          <w:szCs w:val="24"/>
        </w:rPr>
      </w:pPr>
    </w:p>
    <w:p w:rsidR="0080385B" w:rsidRPr="003C5CED" w:rsidRDefault="00C43805" w:rsidP="0080385B">
      <w:pPr>
        <w:numPr>
          <w:ilvl w:val="0"/>
          <w:numId w:val="30"/>
        </w:numPr>
        <w:tabs>
          <w:tab w:val="num" w:pos="720"/>
        </w:tabs>
        <w:spacing w:after="0" w:line="240" w:lineRule="auto"/>
        <w:ind w:left="0" w:firstLine="0"/>
        <w:contextualSpacing/>
        <w:mirrorIndents/>
        <w:jc w:val="both"/>
        <w:rPr>
          <w:rFonts w:cs="Times New Roman"/>
          <w:sz w:val="24"/>
          <w:szCs w:val="24"/>
        </w:rPr>
      </w:pPr>
      <w:r w:rsidRPr="003C5CED">
        <w:rPr>
          <w:rFonts w:cs="Times New Roman"/>
          <w:b/>
          <w:sz w:val="24"/>
          <w:szCs w:val="24"/>
        </w:rPr>
        <w:t xml:space="preserve">The </w:t>
      </w:r>
      <w:r w:rsidRPr="008459B7">
        <w:rPr>
          <w:rFonts w:cs="Times New Roman"/>
          <w:b/>
          <w:sz w:val="24"/>
          <w:szCs w:val="24"/>
        </w:rPr>
        <w:t xml:space="preserve">cuts in non-priority current spending </w:t>
      </w:r>
      <w:r w:rsidR="00C62BA6">
        <w:rPr>
          <w:rFonts w:cs="Times New Roman"/>
          <w:b/>
          <w:sz w:val="24"/>
          <w:szCs w:val="24"/>
        </w:rPr>
        <w:t xml:space="preserve">(non-salary expenditures) </w:t>
      </w:r>
      <w:r w:rsidRPr="008459B7">
        <w:rPr>
          <w:rFonts w:cs="Times New Roman"/>
          <w:b/>
          <w:sz w:val="24"/>
          <w:szCs w:val="24"/>
        </w:rPr>
        <w:t xml:space="preserve">through re-allocation </w:t>
      </w:r>
      <w:r w:rsidR="00C62BA6">
        <w:rPr>
          <w:rFonts w:cs="Times New Roman"/>
          <w:b/>
          <w:sz w:val="24"/>
          <w:szCs w:val="24"/>
        </w:rPr>
        <w:t>led to lower transfers to</w:t>
      </w:r>
      <w:r w:rsidR="00635C3D" w:rsidRPr="008459B7">
        <w:rPr>
          <w:rFonts w:cs="Times New Roman"/>
          <w:b/>
          <w:sz w:val="24"/>
          <w:szCs w:val="24"/>
        </w:rPr>
        <w:t xml:space="preserve"> regions and LGAs</w:t>
      </w:r>
      <w:r w:rsidRPr="008459B7">
        <w:rPr>
          <w:rFonts w:cs="Times New Roman"/>
          <w:b/>
          <w:sz w:val="24"/>
          <w:szCs w:val="24"/>
        </w:rPr>
        <w:t xml:space="preserve">.  </w:t>
      </w:r>
      <w:r w:rsidR="00C06284" w:rsidRPr="008459B7">
        <w:rPr>
          <w:rFonts w:cs="Times New Roman"/>
          <w:sz w:val="24"/>
          <w:szCs w:val="24"/>
        </w:rPr>
        <w:t xml:space="preserve">By </w:t>
      </w:r>
      <w:r w:rsidR="00635C3D" w:rsidRPr="008459B7">
        <w:rPr>
          <w:rFonts w:cs="Times New Roman"/>
          <w:sz w:val="24"/>
          <w:szCs w:val="24"/>
        </w:rPr>
        <w:t xml:space="preserve">the end of FY 2012/13 </w:t>
      </w:r>
      <w:r w:rsidR="00C06284" w:rsidRPr="008459B7">
        <w:rPr>
          <w:rFonts w:cs="Times New Roman"/>
          <w:sz w:val="24"/>
          <w:szCs w:val="24"/>
        </w:rPr>
        <w:t xml:space="preserve">only </w:t>
      </w:r>
      <w:r w:rsidR="00635C3D" w:rsidRPr="005C6263">
        <w:rPr>
          <w:rFonts w:cs="Times New Roman"/>
          <w:sz w:val="24"/>
          <w:szCs w:val="24"/>
        </w:rPr>
        <w:t>59 percent</w:t>
      </w:r>
      <w:r w:rsidR="00635C3D" w:rsidRPr="008459B7">
        <w:rPr>
          <w:rFonts w:cs="Times New Roman"/>
          <w:sz w:val="24"/>
          <w:szCs w:val="24"/>
        </w:rPr>
        <w:t xml:space="preserve"> of non-salary funds budgeted for</w:t>
      </w:r>
      <w:r w:rsidR="00C06284" w:rsidRPr="008459B7">
        <w:rPr>
          <w:rFonts w:cs="Times New Roman"/>
          <w:sz w:val="24"/>
          <w:szCs w:val="24"/>
        </w:rPr>
        <w:t xml:space="preserve"> the</w:t>
      </w:r>
      <w:r w:rsidR="00635C3D" w:rsidRPr="008459B7">
        <w:rPr>
          <w:rFonts w:cs="Times New Roman"/>
          <w:sz w:val="24"/>
          <w:szCs w:val="24"/>
        </w:rPr>
        <w:t xml:space="preserve"> Regions and LGAs were released.  The significant shortfalls in disbursement of non-salary recurrent funds</w:t>
      </w:r>
      <w:r w:rsidR="00EC3876" w:rsidRPr="008459B7">
        <w:rPr>
          <w:rFonts w:cs="Times New Roman"/>
          <w:sz w:val="24"/>
          <w:szCs w:val="24"/>
        </w:rPr>
        <w:t xml:space="preserve"> </w:t>
      </w:r>
      <w:r w:rsidR="00C06284" w:rsidRPr="008459B7">
        <w:rPr>
          <w:rFonts w:cs="Times New Roman"/>
          <w:sz w:val="24"/>
          <w:szCs w:val="24"/>
        </w:rPr>
        <w:t>(</w:t>
      </w:r>
      <w:r w:rsidR="00EC3876" w:rsidRPr="008459B7">
        <w:rPr>
          <w:rFonts w:cs="Times New Roman"/>
          <w:sz w:val="24"/>
          <w:szCs w:val="24"/>
        </w:rPr>
        <w:t xml:space="preserve">which </w:t>
      </w:r>
      <w:r w:rsidR="00C06284" w:rsidRPr="008459B7">
        <w:rPr>
          <w:rFonts w:cs="Times New Roman"/>
          <w:sz w:val="24"/>
          <w:szCs w:val="24"/>
        </w:rPr>
        <w:t xml:space="preserve">was </w:t>
      </w:r>
      <w:r w:rsidR="00EC3876" w:rsidRPr="008459B7">
        <w:rPr>
          <w:rFonts w:cs="Times New Roman"/>
          <w:sz w:val="24"/>
          <w:szCs w:val="24"/>
        </w:rPr>
        <w:t xml:space="preserve">mostly directed </w:t>
      </w:r>
      <w:r w:rsidR="00C06284" w:rsidRPr="008459B7">
        <w:rPr>
          <w:rFonts w:cs="Times New Roman"/>
          <w:sz w:val="24"/>
          <w:szCs w:val="24"/>
        </w:rPr>
        <w:t xml:space="preserve">at </w:t>
      </w:r>
      <w:r w:rsidR="00EC3876" w:rsidRPr="008459B7">
        <w:rPr>
          <w:rFonts w:cs="Times New Roman"/>
          <w:sz w:val="24"/>
          <w:szCs w:val="24"/>
        </w:rPr>
        <w:t>capitation grants, school meals, general purpose grant, and leave and moving expenses</w:t>
      </w:r>
      <w:r w:rsidR="00C06284" w:rsidRPr="008459B7">
        <w:rPr>
          <w:rFonts w:cs="Times New Roman"/>
          <w:sz w:val="24"/>
          <w:szCs w:val="24"/>
        </w:rPr>
        <w:t>)</w:t>
      </w:r>
      <w:r w:rsidR="00EC3876" w:rsidRPr="008459B7">
        <w:rPr>
          <w:rFonts w:cs="Times New Roman"/>
          <w:sz w:val="24"/>
          <w:szCs w:val="24"/>
        </w:rPr>
        <w:t xml:space="preserve"> m</w:t>
      </w:r>
      <w:r w:rsidR="00C62BA6">
        <w:rPr>
          <w:rFonts w:cs="Times New Roman"/>
          <w:sz w:val="24"/>
          <w:szCs w:val="24"/>
        </w:rPr>
        <w:t xml:space="preserve">ay </w:t>
      </w:r>
      <w:r w:rsidR="00EC3876" w:rsidRPr="008459B7">
        <w:rPr>
          <w:rFonts w:cs="Times New Roman"/>
          <w:sz w:val="24"/>
          <w:szCs w:val="24"/>
        </w:rPr>
        <w:t>have disrupted service delivery in LGAs especially in education</w:t>
      </w:r>
      <w:r w:rsidR="00EC3876" w:rsidRPr="003C5CED">
        <w:rPr>
          <w:rFonts w:cs="Times New Roman"/>
          <w:sz w:val="24"/>
          <w:szCs w:val="24"/>
        </w:rPr>
        <w:t xml:space="preserve"> and health sectors.</w:t>
      </w:r>
      <w:r w:rsidR="0026560E" w:rsidRPr="003C5CED">
        <w:rPr>
          <w:rFonts w:cs="Times New Roman"/>
          <w:sz w:val="24"/>
          <w:szCs w:val="24"/>
        </w:rPr>
        <w:t xml:space="preserve"> In MDAs, overall release of non-salary recurrent funds performed well with 98 percent of all budgeted funds being released by</w:t>
      </w:r>
      <w:r w:rsidR="00C06284" w:rsidRPr="003C5CED">
        <w:rPr>
          <w:rFonts w:cs="Times New Roman"/>
          <w:sz w:val="24"/>
          <w:szCs w:val="24"/>
        </w:rPr>
        <w:t xml:space="preserve"> the</w:t>
      </w:r>
      <w:r w:rsidR="0026560E" w:rsidRPr="003C5CED">
        <w:rPr>
          <w:rFonts w:cs="Times New Roman"/>
          <w:sz w:val="24"/>
          <w:szCs w:val="24"/>
        </w:rPr>
        <w:t xml:space="preserve"> end of the FY, with 81 percent of funds being released by end of Q3 of the FY.</w:t>
      </w:r>
      <w:r w:rsidR="00C62BA6">
        <w:rPr>
          <w:rFonts w:cs="Times New Roman"/>
          <w:sz w:val="24"/>
          <w:szCs w:val="24"/>
        </w:rPr>
        <w:t xml:space="preserve">  There have been, however, significant variations across MDAs.</w:t>
      </w:r>
      <w:r w:rsidR="00DA1AAE" w:rsidRPr="003C5CED">
        <w:rPr>
          <w:rFonts w:cs="Times New Roman"/>
          <w:sz w:val="24"/>
          <w:szCs w:val="24"/>
        </w:rPr>
        <w:t xml:space="preserve"> </w:t>
      </w:r>
    </w:p>
    <w:p w:rsidR="00635C3D" w:rsidRPr="003C5CED" w:rsidRDefault="00635C3D" w:rsidP="00287769">
      <w:pPr>
        <w:spacing w:after="0" w:line="240" w:lineRule="auto"/>
        <w:contextualSpacing/>
        <w:mirrorIndents/>
        <w:jc w:val="both"/>
        <w:rPr>
          <w:rFonts w:cs="Times New Roman"/>
          <w:sz w:val="24"/>
          <w:szCs w:val="24"/>
        </w:rPr>
      </w:pPr>
    </w:p>
    <w:p w:rsidR="00B71ECA" w:rsidRDefault="00080754" w:rsidP="00B874FF">
      <w:pPr>
        <w:numPr>
          <w:ilvl w:val="0"/>
          <w:numId w:val="30"/>
        </w:numPr>
        <w:tabs>
          <w:tab w:val="num" w:pos="720"/>
        </w:tabs>
        <w:spacing w:after="0" w:line="240" w:lineRule="auto"/>
        <w:ind w:left="0" w:firstLine="0"/>
        <w:contextualSpacing/>
        <w:mirrorIndents/>
        <w:jc w:val="both"/>
        <w:rPr>
          <w:rFonts w:cs="Times New Roman"/>
          <w:sz w:val="24"/>
          <w:szCs w:val="24"/>
        </w:rPr>
      </w:pPr>
      <w:r w:rsidRPr="00B874FF">
        <w:rPr>
          <w:rFonts w:cs="Times New Roman"/>
          <w:b/>
          <w:i/>
          <w:sz w:val="24"/>
          <w:szCs w:val="24"/>
        </w:rPr>
        <w:t>Development expenditure</w:t>
      </w:r>
      <w:r w:rsidRPr="00B874FF">
        <w:rPr>
          <w:rFonts w:cs="Times New Roman"/>
          <w:b/>
          <w:sz w:val="24"/>
          <w:szCs w:val="24"/>
        </w:rPr>
        <w:t xml:space="preserve">:  </w:t>
      </w:r>
      <w:r w:rsidR="00B77F4C" w:rsidRPr="00B874FF">
        <w:rPr>
          <w:rFonts w:cs="Times New Roman"/>
          <w:b/>
          <w:sz w:val="24"/>
          <w:szCs w:val="24"/>
        </w:rPr>
        <w:t>Development expenditures were lower than budgeted</w:t>
      </w:r>
      <w:r w:rsidR="00772FBA" w:rsidRPr="00B874FF">
        <w:rPr>
          <w:rFonts w:cs="Times New Roman"/>
          <w:b/>
          <w:sz w:val="24"/>
          <w:szCs w:val="24"/>
        </w:rPr>
        <w:t xml:space="preserve"> </w:t>
      </w:r>
      <w:r w:rsidR="00B77F4C" w:rsidRPr="00B874FF">
        <w:rPr>
          <w:rFonts w:cs="Times New Roman"/>
          <w:b/>
          <w:sz w:val="24"/>
          <w:szCs w:val="24"/>
        </w:rPr>
        <w:t>despite significant re-allocation from recurrent to development spending</w:t>
      </w:r>
      <w:r w:rsidR="00C62BA6">
        <w:rPr>
          <w:rFonts w:cs="Times New Roman"/>
          <w:b/>
          <w:sz w:val="24"/>
          <w:szCs w:val="24"/>
        </w:rPr>
        <w:t xml:space="preserve"> during the year</w:t>
      </w:r>
      <w:r w:rsidR="00B77F4C" w:rsidRPr="00B874FF">
        <w:rPr>
          <w:rFonts w:cs="Times New Roman"/>
          <w:b/>
          <w:sz w:val="24"/>
          <w:szCs w:val="24"/>
        </w:rPr>
        <w:t>.</w:t>
      </w:r>
      <w:r w:rsidR="008D087F" w:rsidRPr="00B874FF">
        <w:rPr>
          <w:rFonts w:cs="Times New Roman"/>
          <w:b/>
          <w:sz w:val="24"/>
          <w:szCs w:val="24"/>
        </w:rPr>
        <w:t xml:space="preserve"> </w:t>
      </w:r>
      <w:r w:rsidR="008D087F" w:rsidRPr="00B874FF">
        <w:rPr>
          <w:rFonts w:cs="Times New Roman"/>
          <w:sz w:val="24"/>
          <w:szCs w:val="24"/>
        </w:rPr>
        <w:t xml:space="preserve">Lower than anticipated disbursement of </w:t>
      </w:r>
      <w:r w:rsidR="00C62BA6">
        <w:rPr>
          <w:rFonts w:cs="Times New Roman"/>
          <w:sz w:val="24"/>
          <w:szCs w:val="24"/>
        </w:rPr>
        <w:t xml:space="preserve">foreign financed </w:t>
      </w:r>
      <w:r w:rsidR="007243EB" w:rsidRPr="00B874FF">
        <w:rPr>
          <w:rFonts w:cs="Times New Roman"/>
          <w:sz w:val="24"/>
          <w:szCs w:val="24"/>
        </w:rPr>
        <w:t>project</w:t>
      </w:r>
      <w:r w:rsidR="007243EB">
        <w:rPr>
          <w:rFonts w:cs="Times New Roman"/>
          <w:sz w:val="24"/>
          <w:szCs w:val="24"/>
        </w:rPr>
        <w:t>s</w:t>
      </w:r>
      <w:r w:rsidR="007243EB" w:rsidRPr="00B874FF">
        <w:rPr>
          <w:rFonts w:cs="Times New Roman"/>
          <w:sz w:val="24"/>
          <w:szCs w:val="24"/>
        </w:rPr>
        <w:t>,</w:t>
      </w:r>
      <w:r w:rsidR="008D087F" w:rsidRPr="00B874FF">
        <w:rPr>
          <w:rFonts w:cs="Times New Roman"/>
          <w:sz w:val="24"/>
          <w:szCs w:val="24"/>
        </w:rPr>
        <w:t xml:space="preserve"> </w:t>
      </w:r>
      <w:r w:rsidR="00F97B52" w:rsidRPr="00B874FF">
        <w:rPr>
          <w:rFonts w:cs="Times New Roman"/>
          <w:sz w:val="24"/>
          <w:szCs w:val="24"/>
        </w:rPr>
        <w:t xml:space="preserve">together with </w:t>
      </w:r>
      <w:r w:rsidR="008D087F" w:rsidRPr="00B874FF">
        <w:rPr>
          <w:rFonts w:cs="Times New Roman"/>
          <w:sz w:val="24"/>
          <w:szCs w:val="24"/>
        </w:rPr>
        <w:t>delays in recording foreign direct</w:t>
      </w:r>
      <w:r w:rsidR="00C06284" w:rsidRPr="00B874FF">
        <w:rPr>
          <w:rFonts w:cs="Times New Roman"/>
          <w:sz w:val="24"/>
          <w:szCs w:val="24"/>
        </w:rPr>
        <w:t xml:space="preserve"> spending</w:t>
      </w:r>
      <w:r w:rsidR="008D087F" w:rsidRPr="00B874FF">
        <w:rPr>
          <w:rFonts w:cs="Times New Roman"/>
          <w:sz w:val="24"/>
          <w:szCs w:val="24"/>
        </w:rPr>
        <w:t xml:space="preserve"> to project funds </w:t>
      </w:r>
      <w:r w:rsidR="00F97B52" w:rsidRPr="00B874FF">
        <w:rPr>
          <w:rFonts w:cs="Times New Roman"/>
          <w:sz w:val="24"/>
          <w:szCs w:val="24"/>
        </w:rPr>
        <w:t>accounted</w:t>
      </w:r>
      <w:r w:rsidR="00C06284" w:rsidRPr="00B874FF">
        <w:rPr>
          <w:rFonts w:cs="Times New Roman"/>
          <w:sz w:val="24"/>
          <w:szCs w:val="24"/>
        </w:rPr>
        <w:t xml:space="preserve"> for</w:t>
      </w:r>
      <w:r w:rsidR="00F97B52" w:rsidRPr="00B874FF">
        <w:rPr>
          <w:rFonts w:cs="Times New Roman"/>
          <w:sz w:val="24"/>
          <w:szCs w:val="24"/>
        </w:rPr>
        <w:t xml:space="preserve"> lower than </w:t>
      </w:r>
      <w:r w:rsidR="00772FBA" w:rsidRPr="00B874FF">
        <w:rPr>
          <w:rFonts w:cs="Times New Roman"/>
          <w:sz w:val="24"/>
          <w:szCs w:val="24"/>
        </w:rPr>
        <w:t>budgeted</w:t>
      </w:r>
      <w:r w:rsidR="00F97B52" w:rsidRPr="00B874FF">
        <w:rPr>
          <w:rFonts w:cs="Times New Roman"/>
          <w:sz w:val="24"/>
          <w:szCs w:val="24"/>
        </w:rPr>
        <w:t xml:space="preserve"> development spending. </w:t>
      </w:r>
      <w:r w:rsidR="000A26A3">
        <w:rPr>
          <w:rFonts w:cs="Times New Roman"/>
          <w:sz w:val="24"/>
          <w:szCs w:val="24"/>
        </w:rPr>
        <w:t>T</w:t>
      </w:r>
      <w:r w:rsidR="00C62BA6">
        <w:rPr>
          <w:rFonts w:cs="Times New Roman"/>
          <w:sz w:val="24"/>
          <w:szCs w:val="24"/>
        </w:rPr>
        <w:t xml:space="preserve">he </w:t>
      </w:r>
      <w:r w:rsidR="002A01EE">
        <w:rPr>
          <w:rFonts w:cs="Times New Roman"/>
          <w:sz w:val="24"/>
          <w:szCs w:val="24"/>
        </w:rPr>
        <w:t>l</w:t>
      </w:r>
      <w:r w:rsidR="00F97B52" w:rsidRPr="00B874FF">
        <w:rPr>
          <w:rFonts w:cs="Times New Roman"/>
          <w:sz w:val="24"/>
          <w:szCs w:val="24"/>
        </w:rPr>
        <w:t>ocal</w:t>
      </w:r>
      <w:r w:rsidR="00C62BA6">
        <w:rPr>
          <w:rFonts w:cs="Times New Roman"/>
          <w:sz w:val="24"/>
          <w:szCs w:val="24"/>
        </w:rPr>
        <w:t>ly</w:t>
      </w:r>
      <w:r w:rsidR="00F97B52" w:rsidRPr="00B874FF">
        <w:rPr>
          <w:rFonts w:cs="Times New Roman"/>
          <w:sz w:val="24"/>
          <w:szCs w:val="24"/>
        </w:rPr>
        <w:t xml:space="preserve"> fund</w:t>
      </w:r>
      <w:r w:rsidR="00C62BA6">
        <w:rPr>
          <w:rFonts w:cs="Times New Roman"/>
          <w:sz w:val="24"/>
          <w:szCs w:val="24"/>
        </w:rPr>
        <w:t>ed</w:t>
      </w:r>
      <w:r w:rsidR="00F97B52" w:rsidRPr="00B874FF">
        <w:rPr>
          <w:rFonts w:cs="Times New Roman"/>
          <w:sz w:val="24"/>
          <w:szCs w:val="24"/>
        </w:rPr>
        <w:t xml:space="preserve"> development expenditures </w:t>
      </w:r>
      <w:r w:rsidR="000A26A3">
        <w:rPr>
          <w:rFonts w:cs="Times New Roman"/>
          <w:sz w:val="24"/>
          <w:szCs w:val="24"/>
        </w:rPr>
        <w:t xml:space="preserve">were </w:t>
      </w:r>
      <w:r w:rsidR="00C62BA6">
        <w:rPr>
          <w:rFonts w:cs="Times New Roman"/>
          <w:sz w:val="24"/>
          <w:szCs w:val="24"/>
        </w:rPr>
        <w:t xml:space="preserve">up </w:t>
      </w:r>
      <w:r w:rsidR="00F97B52" w:rsidRPr="00B874FF">
        <w:rPr>
          <w:rFonts w:cs="Times New Roman"/>
          <w:sz w:val="24"/>
          <w:szCs w:val="24"/>
        </w:rPr>
        <w:t>by 1.</w:t>
      </w:r>
      <w:r w:rsidR="00B874FF" w:rsidRPr="00B874FF">
        <w:rPr>
          <w:rFonts w:cs="Times New Roman"/>
          <w:sz w:val="24"/>
          <w:szCs w:val="24"/>
        </w:rPr>
        <w:t>3</w:t>
      </w:r>
      <w:r w:rsidR="00F97B52" w:rsidRPr="00B874FF">
        <w:rPr>
          <w:rFonts w:cs="Times New Roman"/>
          <w:sz w:val="24"/>
          <w:szCs w:val="24"/>
        </w:rPr>
        <w:t xml:space="preserve"> percent of GDP.</w:t>
      </w:r>
      <w:r w:rsidR="00B71ECA" w:rsidRPr="00B874FF">
        <w:rPr>
          <w:rFonts w:cs="Times New Roman"/>
          <w:sz w:val="24"/>
          <w:szCs w:val="24"/>
        </w:rPr>
        <w:t xml:space="preserve"> </w:t>
      </w:r>
      <w:r w:rsidR="008B0A6D" w:rsidRPr="00B874FF">
        <w:rPr>
          <w:rFonts w:cs="Times New Roman"/>
          <w:sz w:val="24"/>
          <w:szCs w:val="24"/>
        </w:rPr>
        <w:t xml:space="preserve">As a result the share of </w:t>
      </w:r>
      <w:r w:rsidR="00C62BA6">
        <w:rPr>
          <w:rFonts w:cs="Times New Roman"/>
          <w:sz w:val="24"/>
          <w:szCs w:val="24"/>
        </w:rPr>
        <w:t xml:space="preserve">domestically funded </w:t>
      </w:r>
      <w:r w:rsidR="008B0A6D" w:rsidRPr="00B874FF">
        <w:rPr>
          <w:rFonts w:cs="Times New Roman"/>
          <w:sz w:val="24"/>
          <w:szCs w:val="24"/>
        </w:rPr>
        <w:t xml:space="preserve">development budget </w:t>
      </w:r>
      <w:r w:rsidR="008459B7" w:rsidRPr="00B874FF">
        <w:rPr>
          <w:rFonts w:cs="Times New Roman"/>
          <w:sz w:val="24"/>
          <w:szCs w:val="24"/>
        </w:rPr>
        <w:t xml:space="preserve">increased to </w:t>
      </w:r>
      <w:r w:rsidR="006D3CCB" w:rsidRPr="00B874FF">
        <w:rPr>
          <w:rFonts w:cs="Times New Roman"/>
          <w:sz w:val="24"/>
          <w:szCs w:val="24"/>
        </w:rPr>
        <w:t xml:space="preserve">around </w:t>
      </w:r>
      <w:r w:rsidR="008B0A6D" w:rsidRPr="00B874FF">
        <w:rPr>
          <w:rFonts w:cs="Times New Roman"/>
          <w:sz w:val="24"/>
          <w:szCs w:val="24"/>
        </w:rPr>
        <w:t>59 percent in 2012/13,</w:t>
      </w:r>
      <w:r w:rsidR="006D3CCB" w:rsidRPr="00B874FF">
        <w:rPr>
          <w:rFonts w:cs="Times New Roman"/>
          <w:sz w:val="24"/>
          <w:szCs w:val="24"/>
        </w:rPr>
        <w:t xml:space="preserve"> s</w:t>
      </w:r>
      <w:r w:rsidR="00B874FF" w:rsidRPr="00B874FF">
        <w:rPr>
          <w:rFonts w:cs="Times New Roman"/>
          <w:sz w:val="24"/>
          <w:szCs w:val="24"/>
        </w:rPr>
        <w:t xml:space="preserve">ignificantly higher than </w:t>
      </w:r>
      <w:r w:rsidR="00EB0E1B">
        <w:rPr>
          <w:rFonts w:cs="Times New Roman"/>
          <w:sz w:val="24"/>
          <w:szCs w:val="24"/>
        </w:rPr>
        <w:t>around 50</w:t>
      </w:r>
      <w:r w:rsidR="00C62BA6">
        <w:rPr>
          <w:rFonts w:cs="Times New Roman"/>
          <w:sz w:val="24"/>
          <w:szCs w:val="24"/>
        </w:rPr>
        <w:t xml:space="preserve"> percent recorded </w:t>
      </w:r>
      <w:r w:rsidR="00B874FF" w:rsidRPr="00B874FF">
        <w:rPr>
          <w:rFonts w:cs="Times New Roman"/>
          <w:sz w:val="24"/>
          <w:szCs w:val="24"/>
        </w:rPr>
        <w:t>in</w:t>
      </w:r>
      <w:r w:rsidR="008B0A6D" w:rsidRPr="00B874FF">
        <w:rPr>
          <w:rFonts w:cs="Times New Roman"/>
          <w:sz w:val="24"/>
          <w:szCs w:val="24"/>
        </w:rPr>
        <w:t xml:space="preserve"> 2011/12</w:t>
      </w:r>
      <w:r w:rsidR="00B874FF" w:rsidRPr="00B874FF">
        <w:rPr>
          <w:rFonts w:cs="Times New Roman"/>
          <w:sz w:val="24"/>
          <w:szCs w:val="24"/>
        </w:rPr>
        <w:t xml:space="preserve"> (</w:t>
      </w:r>
      <w:r w:rsidR="00B874FF" w:rsidRPr="00B874FF">
        <w:rPr>
          <w:rFonts w:cs="Times New Roman"/>
          <w:sz w:val="24"/>
          <w:szCs w:val="24"/>
        </w:rPr>
        <w:fldChar w:fldCharType="begin"/>
      </w:r>
      <w:r w:rsidR="00B874FF" w:rsidRPr="00B874FF">
        <w:rPr>
          <w:rFonts w:cs="Times New Roman"/>
          <w:sz w:val="24"/>
          <w:szCs w:val="24"/>
        </w:rPr>
        <w:instrText xml:space="preserve"> REF _Ref371663462 \h  \* MERGEFORMAT </w:instrText>
      </w:r>
      <w:r w:rsidR="00B874FF" w:rsidRPr="00B874FF">
        <w:rPr>
          <w:rFonts w:cs="Times New Roman"/>
          <w:sz w:val="24"/>
          <w:szCs w:val="24"/>
        </w:rPr>
      </w:r>
      <w:r w:rsidR="00B874FF" w:rsidRPr="00B874FF">
        <w:rPr>
          <w:rFonts w:cs="Times New Roman"/>
          <w:sz w:val="24"/>
          <w:szCs w:val="24"/>
        </w:rPr>
        <w:fldChar w:fldCharType="separate"/>
      </w:r>
      <w:r w:rsidR="005B207F" w:rsidRPr="005B207F">
        <w:rPr>
          <w:sz w:val="24"/>
          <w:szCs w:val="24"/>
        </w:rPr>
        <w:t xml:space="preserve">Table </w:t>
      </w:r>
      <w:r w:rsidR="005B207F" w:rsidRPr="005B207F">
        <w:rPr>
          <w:noProof/>
          <w:sz w:val="24"/>
          <w:szCs w:val="24"/>
        </w:rPr>
        <w:t>4</w:t>
      </w:r>
      <w:r w:rsidR="00B874FF" w:rsidRPr="00B874FF">
        <w:rPr>
          <w:rFonts w:cs="Times New Roman"/>
          <w:sz w:val="24"/>
          <w:szCs w:val="24"/>
        </w:rPr>
        <w:fldChar w:fldCharType="end"/>
      </w:r>
      <w:r w:rsidR="00B874FF" w:rsidRPr="00B874FF">
        <w:rPr>
          <w:rFonts w:cs="Times New Roman"/>
          <w:sz w:val="24"/>
          <w:szCs w:val="24"/>
        </w:rPr>
        <w:t xml:space="preserve">). </w:t>
      </w:r>
      <w:r w:rsidR="00C62BA6">
        <w:rPr>
          <w:rFonts w:cs="Times New Roman"/>
          <w:sz w:val="24"/>
          <w:szCs w:val="24"/>
        </w:rPr>
        <w:t xml:space="preserve">At this stage, </w:t>
      </w:r>
      <w:r w:rsidR="00B874FF" w:rsidRPr="00B874FF">
        <w:rPr>
          <w:rFonts w:cs="Times New Roman"/>
          <w:sz w:val="24"/>
          <w:szCs w:val="24"/>
        </w:rPr>
        <w:t xml:space="preserve">the share of foreign funded development may be underestimated due to </w:t>
      </w:r>
      <w:r w:rsidR="00B874FF" w:rsidRPr="00B874FF">
        <w:rPr>
          <w:rFonts w:cs="Times New Roman"/>
          <w:sz w:val="24"/>
          <w:szCs w:val="24"/>
        </w:rPr>
        <w:lastRenderedPageBreak/>
        <w:t xml:space="preserve">delays in reporting the direct </w:t>
      </w:r>
      <w:r w:rsidR="00EE6AC1">
        <w:rPr>
          <w:rFonts w:cs="Times New Roman"/>
          <w:sz w:val="24"/>
          <w:szCs w:val="24"/>
        </w:rPr>
        <w:t xml:space="preserve">spending </w:t>
      </w:r>
      <w:r w:rsidR="00B874FF" w:rsidRPr="00B874FF">
        <w:rPr>
          <w:rFonts w:cs="Times New Roman"/>
          <w:sz w:val="24"/>
          <w:szCs w:val="24"/>
        </w:rPr>
        <w:t>to project funds (D-Funds)</w:t>
      </w:r>
      <w:r w:rsidR="00C62BA6">
        <w:rPr>
          <w:rFonts w:cs="Times New Roman"/>
          <w:sz w:val="24"/>
          <w:szCs w:val="24"/>
        </w:rPr>
        <w:t xml:space="preserve"> and may increase when final adjustments will be recorded in the system.</w:t>
      </w:r>
    </w:p>
    <w:p w:rsidR="008C1DC9" w:rsidRPr="00B874FF" w:rsidRDefault="008C1DC9" w:rsidP="008C1DC9">
      <w:pPr>
        <w:spacing w:after="0" w:line="240" w:lineRule="auto"/>
        <w:contextualSpacing/>
        <w:mirrorIndents/>
        <w:jc w:val="both"/>
        <w:rPr>
          <w:rFonts w:cs="Times New Roman"/>
          <w:sz w:val="24"/>
          <w:szCs w:val="24"/>
        </w:rPr>
      </w:pPr>
    </w:p>
    <w:p w:rsidR="008712CE" w:rsidRPr="007131C0" w:rsidRDefault="007131C0" w:rsidP="009B52AE">
      <w:pPr>
        <w:pStyle w:val="Caption"/>
        <w:spacing w:after="120"/>
        <w:jc w:val="center"/>
        <w:rPr>
          <w:rFonts w:cs="Times New Roman"/>
          <w:color w:val="auto"/>
          <w:sz w:val="22"/>
          <w:szCs w:val="22"/>
        </w:rPr>
      </w:pPr>
      <w:bookmarkStart w:id="7" w:name="_Ref370732168"/>
      <w:bookmarkStart w:id="8" w:name="_Ref371663462"/>
      <w:r w:rsidRPr="007131C0">
        <w:rPr>
          <w:color w:val="auto"/>
          <w:sz w:val="22"/>
          <w:szCs w:val="22"/>
        </w:rPr>
        <w:t xml:space="preserve">Table </w:t>
      </w:r>
      <w:r w:rsidRPr="007131C0">
        <w:rPr>
          <w:color w:val="auto"/>
          <w:sz w:val="22"/>
          <w:szCs w:val="22"/>
        </w:rPr>
        <w:fldChar w:fldCharType="begin"/>
      </w:r>
      <w:r w:rsidRPr="007131C0">
        <w:rPr>
          <w:color w:val="auto"/>
          <w:sz w:val="22"/>
          <w:szCs w:val="22"/>
        </w:rPr>
        <w:instrText xml:space="preserve"> SEQ Table \* ARABIC </w:instrText>
      </w:r>
      <w:r w:rsidRPr="007131C0">
        <w:rPr>
          <w:color w:val="auto"/>
          <w:sz w:val="22"/>
          <w:szCs w:val="22"/>
        </w:rPr>
        <w:fldChar w:fldCharType="separate"/>
      </w:r>
      <w:r w:rsidR="005B207F">
        <w:rPr>
          <w:noProof/>
          <w:color w:val="auto"/>
          <w:sz w:val="22"/>
          <w:szCs w:val="22"/>
        </w:rPr>
        <w:t>4</w:t>
      </w:r>
      <w:r w:rsidRPr="007131C0">
        <w:rPr>
          <w:color w:val="auto"/>
          <w:sz w:val="22"/>
          <w:szCs w:val="22"/>
        </w:rPr>
        <w:fldChar w:fldCharType="end"/>
      </w:r>
      <w:bookmarkEnd w:id="7"/>
      <w:bookmarkEnd w:id="8"/>
      <w:r w:rsidRPr="007131C0">
        <w:rPr>
          <w:color w:val="auto"/>
          <w:sz w:val="22"/>
          <w:szCs w:val="22"/>
        </w:rPr>
        <w:t>: Funding of development spending</w:t>
      </w:r>
    </w:p>
    <w:p w:rsidR="008712CE" w:rsidRPr="008138F9" w:rsidRDefault="00EB0E1B" w:rsidP="009B52AE">
      <w:pPr>
        <w:spacing w:after="0" w:line="240" w:lineRule="auto"/>
        <w:contextualSpacing/>
        <w:mirrorIndents/>
        <w:jc w:val="center"/>
        <w:rPr>
          <w:rFonts w:cs="Times New Roman"/>
          <w:sz w:val="24"/>
          <w:szCs w:val="24"/>
        </w:rPr>
      </w:pPr>
      <w:r w:rsidRPr="00EB0E1B">
        <w:rPr>
          <w:noProof/>
        </w:rPr>
        <w:drawing>
          <wp:inline distT="0" distB="0" distL="0" distR="0" wp14:anchorId="5160FCB6" wp14:editId="10CBC1C3">
            <wp:extent cx="5283200" cy="1625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2281" cy="1631471"/>
                    </a:xfrm>
                    <a:prstGeom prst="rect">
                      <a:avLst/>
                    </a:prstGeom>
                    <a:noFill/>
                    <a:ln>
                      <a:noFill/>
                    </a:ln>
                  </pic:spPr>
                </pic:pic>
              </a:graphicData>
            </a:graphic>
          </wp:inline>
        </w:drawing>
      </w:r>
    </w:p>
    <w:p w:rsidR="00D736DB" w:rsidRPr="00EB0E1B" w:rsidRDefault="00DA05F0" w:rsidP="00D736DB">
      <w:pPr>
        <w:spacing w:after="0" w:line="240" w:lineRule="auto"/>
        <w:contextualSpacing/>
        <w:mirrorIndents/>
        <w:jc w:val="both"/>
        <w:rPr>
          <w:rFonts w:cs="Calibri"/>
          <w:bCs/>
        </w:rPr>
      </w:pPr>
      <w:r w:rsidRPr="00EB0E1B">
        <w:rPr>
          <w:rFonts w:cs="Calibri"/>
          <w:bCs/>
        </w:rPr>
        <w:t xml:space="preserve">          Source:</w:t>
      </w:r>
      <w:r w:rsidR="007439EA" w:rsidRPr="00EB0E1B">
        <w:rPr>
          <w:rFonts w:cs="Calibri"/>
          <w:bCs/>
        </w:rPr>
        <w:t xml:space="preserve">  Ministry of Fin</w:t>
      </w:r>
      <w:r w:rsidR="007729A5" w:rsidRPr="00EB0E1B">
        <w:rPr>
          <w:rFonts w:cs="Calibri"/>
          <w:bCs/>
        </w:rPr>
        <w:t xml:space="preserve">ance </w:t>
      </w:r>
    </w:p>
    <w:p w:rsidR="007729A5" w:rsidRDefault="007729A5" w:rsidP="00D736DB">
      <w:pPr>
        <w:spacing w:after="0" w:line="240" w:lineRule="auto"/>
        <w:contextualSpacing/>
        <w:mirrorIndents/>
        <w:jc w:val="both"/>
        <w:rPr>
          <w:rFonts w:cs="Times New Roman"/>
          <w:sz w:val="24"/>
          <w:szCs w:val="24"/>
        </w:rPr>
      </w:pPr>
    </w:p>
    <w:p w:rsidR="00D736DB" w:rsidRPr="00EC2FF5" w:rsidRDefault="00EC2FF5" w:rsidP="00EC2FF5">
      <w:pPr>
        <w:pStyle w:val="Caption"/>
        <w:spacing w:after="120"/>
        <w:jc w:val="center"/>
        <w:rPr>
          <w:rFonts w:cs="Times New Roman"/>
          <w:color w:val="auto"/>
          <w:sz w:val="22"/>
          <w:szCs w:val="22"/>
        </w:rPr>
      </w:pPr>
      <w:bookmarkStart w:id="9" w:name="_Ref371341941"/>
      <w:r w:rsidRPr="00EC2FF5">
        <w:rPr>
          <w:color w:val="auto"/>
          <w:sz w:val="22"/>
          <w:szCs w:val="22"/>
        </w:rPr>
        <w:t xml:space="preserve">Figure </w:t>
      </w:r>
      <w:r w:rsidRPr="00EC2FF5">
        <w:rPr>
          <w:color w:val="auto"/>
          <w:sz w:val="22"/>
          <w:szCs w:val="22"/>
        </w:rPr>
        <w:fldChar w:fldCharType="begin"/>
      </w:r>
      <w:r w:rsidRPr="00EC2FF5">
        <w:rPr>
          <w:color w:val="auto"/>
          <w:sz w:val="22"/>
          <w:szCs w:val="22"/>
        </w:rPr>
        <w:instrText xml:space="preserve"> SEQ Figure \* ARABIC </w:instrText>
      </w:r>
      <w:r w:rsidRPr="00EC2FF5">
        <w:rPr>
          <w:color w:val="auto"/>
          <w:sz w:val="22"/>
          <w:szCs w:val="22"/>
        </w:rPr>
        <w:fldChar w:fldCharType="separate"/>
      </w:r>
      <w:r w:rsidR="005B207F">
        <w:rPr>
          <w:noProof/>
          <w:color w:val="auto"/>
          <w:sz w:val="22"/>
          <w:szCs w:val="22"/>
        </w:rPr>
        <w:t>5</w:t>
      </w:r>
      <w:r w:rsidRPr="00EC2FF5">
        <w:rPr>
          <w:color w:val="auto"/>
          <w:sz w:val="22"/>
          <w:szCs w:val="22"/>
        </w:rPr>
        <w:fldChar w:fldCharType="end"/>
      </w:r>
      <w:bookmarkEnd w:id="9"/>
      <w:r w:rsidRPr="00EC2FF5">
        <w:rPr>
          <w:color w:val="auto"/>
          <w:sz w:val="22"/>
          <w:szCs w:val="22"/>
        </w:rPr>
        <w:t xml:space="preserve">: </w:t>
      </w:r>
      <w:r w:rsidR="00D736DB" w:rsidRPr="00EC2FF5">
        <w:rPr>
          <w:rFonts w:cs="Times New Roman"/>
          <w:color w:val="auto"/>
          <w:sz w:val="22"/>
          <w:szCs w:val="22"/>
        </w:rPr>
        <w:t>Trend</w:t>
      </w:r>
      <w:r>
        <w:rPr>
          <w:rFonts w:cs="Times New Roman"/>
          <w:color w:val="auto"/>
          <w:sz w:val="22"/>
          <w:szCs w:val="22"/>
        </w:rPr>
        <w:t>s</w:t>
      </w:r>
      <w:r w:rsidR="00D736DB" w:rsidRPr="00EC2FF5">
        <w:rPr>
          <w:rFonts w:cs="Times New Roman"/>
          <w:color w:val="auto"/>
          <w:sz w:val="22"/>
          <w:szCs w:val="22"/>
        </w:rPr>
        <w:t xml:space="preserve"> in release of funds</w:t>
      </w:r>
      <w:r>
        <w:rPr>
          <w:rFonts w:cs="Times New Roman"/>
          <w:color w:val="auto"/>
          <w:sz w:val="22"/>
          <w:szCs w:val="22"/>
        </w:rPr>
        <w:t xml:space="preserve"> (as percent of approved budget)</w:t>
      </w:r>
      <w:r w:rsidR="00BB17C2">
        <w:rPr>
          <w:rFonts w:cs="Times New Roman"/>
          <w:color w:val="auto"/>
          <w:sz w:val="22"/>
          <w:szCs w:val="22"/>
        </w:rPr>
        <w:t xml:space="preserve"> in 2012/13</w:t>
      </w:r>
    </w:p>
    <w:p w:rsidR="00D736DB" w:rsidRPr="00EC2FF5" w:rsidRDefault="00FE5613" w:rsidP="00D736DB">
      <w:pPr>
        <w:spacing w:after="0" w:line="240" w:lineRule="auto"/>
        <w:contextualSpacing/>
        <w:mirrorIndents/>
        <w:jc w:val="center"/>
        <w:rPr>
          <w:rFonts w:cs="Times New Roman"/>
          <w:sz w:val="24"/>
          <w:szCs w:val="24"/>
        </w:rPr>
      </w:pPr>
      <w:r w:rsidRPr="00FE5613">
        <w:rPr>
          <w:noProof/>
        </w:rPr>
        <w:drawing>
          <wp:inline distT="0" distB="0" distL="0" distR="0" wp14:anchorId="73D5220A" wp14:editId="5287CF6B">
            <wp:extent cx="4656667" cy="2105748"/>
            <wp:effectExtent l="0" t="0" r="0" b="889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3196" cy="2108700"/>
                    </a:xfrm>
                    <a:prstGeom prst="rect">
                      <a:avLst/>
                    </a:prstGeom>
                    <a:noFill/>
                    <a:ln>
                      <a:noFill/>
                    </a:ln>
                  </pic:spPr>
                </pic:pic>
              </a:graphicData>
            </a:graphic>
          </wp:inline>
        </w:drawing>
      </w:r>
    </w:p>
    <w:p w:rsidR="00D736DB" w:rsidRPr="00EC2FF5" w:rsidRDefault="00D736DB" w:rsidP="00D736DB">
      <w:pPr>
        <w:spacing w:after="0" w:line="240" w:lineRule="auto"/>
        <w:contextualSpacing/>
        <w:mirrorIndents/>
        <w:jc w:val="center"/>
        <w:rPr>
          <w:rFonts w:cs="Times New Roman"/>
          <w:sz w:val="24"/>
          <w:szCs w:val="24"/>
        </w:rPr>
      </w:pPr>
    </w:p>
    <w:p w:rsidR="00B874FF" w:rsidRDefault="00B874FF" w:rsidP="00B874FF">
      <w:pPr>
        <w:numPr>
          <w:ilvl w:val="0"/>
          <w:numId w:val="30"/>
        </w:numPr>
        <w:tabs>
          <w:tab w:val="num" w:pos="720"/>
        </w:tabs>
        <w:spacing w:after="0" w:line="240" w:lineRule="auto"/>
        <w:ind w:left="0" w:firstLine="0"/>
        <w:contextualSpacing/>
        <w:mirrorIndents/>
        <w:jc w:val="both"/>
        <w:rPr>
          <w:rFonts w:cs="Times New Roman"/>
          <w:sz w:val="24"/>
          <w:szCs w:val="24"/>
        </w:rPr>
      </w:pPr>
      <w:r w:rsidRPr="003C5CED">
        <w:rPr>
          <w:rFonts w:cs="Times New Roman"/>
          <w:b/>
          <w:sz w:val="24"/>
          <w:szCs w:val="24"/>
        </w:rPr>
        <w:t xml:space="preserve">Development budget execution improved in 2012/13 but the usual delays in the release of development funds persisted. </w:t>
      </w:r>
      <w:r w:rsidRPr="003C5CED">
        <w:rPr>
          <w:rFonts w:cs="Times New Roman"/>
          <w:sz w:val="24"/>
          <w:szCs w:val="24"/>
        </w:rPr>
        <w:t xml:space="preserve">Overall development execution rates increased to 79 percent </w:t>
      </w:r>
      <w:r w:rsidR="008F5861">
        <w:rPr>
          <w:rFonts w:cs="Times New Roman"/>
          <w:sz w:val="24"/>
          <w:szCs w:val="24"/>
        </w:rPr>
        <w:t xml:space="preserve">from </w:t>
      </w:r>
      <w:r w:rsidR="007243EB">
        <w:rPr>
          <w:rFonts w:cs="Times New Roman"/>
          <w:sz w:val="24"/>
          <w:szCs w:val="24"/>
        </w:rPr>
        <w:t>70</w:t>
      </w:r>
      <w:r w:rsidR="008F5861">
        <w:rPr>
          <w:rFonts w:cs="Times New Roman"/>
          <w:sz w:val="24"/>
          <w:szCs w:val="24"/>
        </w:rPr>
        <w:t xml:space="preserve"> percent in 2011/12, </w:t>
      </w:r>
      <w:r w:rsidRPr="003C5CED">
        <w:rPr>
          <w:rFonts w:cs="Times New Roman"/>
          <w:sz w:val="24"/>
          <w:szCs w:val="24"/>
        </w:rPr>
        <w:t>driven largely by good performance in disbursement of local funds, with an execution rate of 89 percent (</w:t>
      </w:r>
      <w:r w:rsidRPr="003C5CED">
        <w:rPr>
          <w:rFonts w:cs="Times New Roman"/>
          <w:sz w:val="24"/>
          <w:szCs w:val="24"/>
        </w:rPr>
        <w:fldChar w:fldCharType="begin"/>
      </w:r>
      <w:r w:rsidRPr="003C5CED">
        <w:rPr>
          <w:rFonts w:cs="Times New Roman"/>
          <w:sz w:val="24"/>
          <w:szCs w:val="24"/>
        </w:rPr>
        <w:instrText xml:space="preserve"> REF _Ref371341941 \h </w:instrText>
      </w:r>
      <w:r>
        <w:rPr>
          <w:rFonts w:cs="Times New Roman"/>
          <w:sz w:val="24"/>
          <w:szCs w:val="24"/>
        </w:rPr>
        <w:instrText xml:space="preserve"> \* MERGEFORMAT </w:instrText>
      </w:r>
      <w:r w:rsidRPr="003C5CED">
        <w:rPr>
          <w:rFonts w:cs="Times New Roman"/>
          <w:sz w:val="24"/>
          <w:szCs w:val="24"/>
        </w:rPr>
      </w:r>
      <w:r w:rsidRPr="003C5CED">
        <w:rPr>
          <w:rFonts w:cs="Times New Roman"/>
          <w:sz w:val="24"/>
          <w:szCs w:val="24"/>
        </w:rPr>
        <w:fldChar w:fldCharType="separate"/>
      </w:r>
      <w:r w:rsidR="005B207F" w:rsidRPr="005B207F">
        <w:rPr>
          <w:sz w:val="24"/>
          <w:szCs w:val="24"/>
        </w:rPr>
        <w:t xml:space="preserve">Figure </w:t>
      </w:r>
      <w:r w:rsidR="005B207F" w:rsidRPr="005B207F">
        <w:rPr>
          <w:noProof/>
          <w:sz w:val="24"/>
          <w:szCs w:val="24"/>
        </w:rPr>
        <w:t>5</w:t>
      </w:r>
      <w:r w:rsidRPr="003C5CED">
        <w:rPr>
          <w:rFonts w:cs="Times New Roman"/>
          <w:sz w:val="24"/>
          <w:szCs w:val="24"/>
        </w:rPr>
        <w:fldChar w:fldCharType="end"/>
      </w:r>
      <w:r w:rsidRPr="003C5CED">
        <w:rPr>
          <w:rFonts w:cs="Times New Roman"/>
          <w:sz w:val="24"/>
          <w:szCs w:val="24"/>
        </w:rPr>
        <w:t xml:space="preserve">). Nevertheless, </w:t>
      </w:r>
      <w:r w:rsidR="008F5861">
        <w:rPr>
          <w:rFonts w:cs="Times New Roman"/>
          <w:sz w:val="24"/>
          <w:szCs w:val="24"/>
        </w:rPr>
        <w:t xml:space="preserve">the </w:t>
      </w:r>
      <w:r w:rsidRPr="003C5CED">
        <w:rPr>
          <w:rFonts w:cs="Times New Roman"/>
          <w:sz w:val="24"/>
          <w:szCs w:val="24"/>
        </w:rPr>
        <w:t xml:space="preserve">large share of development funds </w:t>
      </w:r>
      <w:r w:rsidR="008F5861">
        <w:rPr>
          <w:rFonts w:cs="Times New Roman"/>
          <w:sz w:val="24"/>
          <w:szCs w:val="24"/>
        </w:rPr>
        <w:t>was</w:t>
      </w:r>
      <w:r w:rsidRPr="003C5CED">
        <w:rPr>
          <w:rFonts w:cs="Times New Roman"/>
          <w:sz w:val="24"/>
          <w:szCs w:val="24"/>
        </w:rPr>
        <w:t xml:space="preserve"> released during the last quarter of FY, about 47 percent, while less than 15 percent were released during the first quarter. In terms of release of development funds, performance was much better in the Regions and LGAs than MDAs, with more than 83 percent of all budgeted development funds being released by end of the FY; and 87 percent of the release arriving by Q3 of the FY. The delays in releas</w:t>
      </w:r>
      <w:r w:rsidR="008F5861">
        <w:rPr>
          <w:rFonts w:cs="Times New Roman"/>
          <w:sz w:val="24"/>
          <w:szCs w:val="24"/>
        </w:rPr>
        <w:t>ing</w:t>
      </w:r>
      <w:r w:rsidRPr="003C5CED">
        <w:rPr>
          <w:rFonts w:cs="Times New Roman"/>
          <w:sz w:val="24"/>
          <w:szCs w:val="24"/>
        </w:rPr>
        <w:t xml:space="preserve"> local development funds were mostly driven by the late disbursement of non-concessional external loans, which were mostly </w:t>
      </w:r>
      <w:r w:rsidR="0086229B">
        <w:rPr>
          <w:rFonts w:cs="Times New Roman"/>
          <w:sz w:val="24"/>
          <w:szCs w:val="24"/>
        </w:rPr>
        <w:t xml:space="preserve">executed </w:t>
      </w:r>
      <w:r w:rsidRPr="003C5CED">
        <w:rPr>
          <w:rFonts w:cs="Times New Roman"/>
          <w:sz w:val="24"/>
          <w:szCs w:val="24"/>
        </w:rPr>
        <w:t>during the last month of Q</w:t>
      </w:r>
      <w:r w:rsidR="0086229B">
        <w:rPr>
          <w:rFonts w:cs="Times New Roman"/>
          <w:sz w:val="24"/>
          <w:szCs w:val="24"/>
        </w:rPr>
        <w:t>3</w:t>
      </w:r>
      <w:r w:rsidRPr="003C5CED">
        <w:rPr>
          <w:rFonts w:cs="Times New Roman"/>
          <w:sz w:val="24"/>
          <w:szCs w:val="24"/>
        </w:rPr>
        <w:t xml:space="preserve"> of the FY. </w:t>
      </w:r>
      <w:r w:rsidR="00C5537E">
        <w:rPr>
          <w:rFonts w:cs="Times New Roman"/>
          <w:sz w:val="24"/>
          <w:szCs w:val="24"/>
        </w:rPr>
        <w:t>Additional d</w:t>
      </w:r>
      <w:r w:rsidRPr="003C5CED">
        <w:rPr>
          <w:rFonts w:cs="Times New Roman"/>
          <w:sz w:val="24"/>
          <w:szCs w:val="24"/>
        </w:rPr>
        <w:t xml:space="preserve">elays in the release of foreign funds were on account of </w:t>
      </w:r>
      <w:r w:rsidR="008F5861">
        <w:rPr>
          <w:rFonts w:cs="Times New Roman"/>
          <w:sz w:val="24"/>
          <w:szCs w:val="24"/>
        </w:rPr>
        <w:t xml:space="preserve">slow </w:t>
      </w:r>
      <w:r w:rsidRPr="003C5CED">
        <w:rPr>
          <w:rFonts w:cs="Times New Roman"/>
          <w:sz w:val="24"/>
          <w:szCs w:val="24"/>
        </w:rPr>
        <w:t xml:space="preserve">project implementation (limited absorption capacity), including </w:t>
      </w:r>
      <w:r w:rsidR="008F5861">
        <w:rPr>
          <w:rFonts w:cs="Times New Roman"/>
          <w:sz w:val="24"/>
          <w:szCs w:val="24"/>
        </w:rPr>
        <w:t>the l</w:t>
      </w:r>
      <w:r w:rsidRPr="003C5CED">
        <w:rPr>
          <w:rFonts w:cs="Times New Roman"/>
          <w:sz w:val="24"/>
          <w:szCs w:val="24"/>
        </w:rPr>
        <w:t xml:space="preserve">ength of procurement process. </w:t>
      </w:r>
    </w:p>
    <w:p w:rsidR="00B874FF" w:rsidRPr="00951553" w:rsidRDefault="00B874FF" w:rsidP="00B874FF">
      <w:pPr>
        <w:spacing w:after="0" w:line="240" w:lineRule="auto"/>
        <w:contextualSpacing/>
        <w:mirrorIndents/>
        <w:jc w:val="both"/>
        <w:rPr>
          <w:rFonts w:cs="Times New Roman"/>
          <w:sz w:val="24"/>
          <w:szCs w:val="24"/>
        </w:rPr>
      </w:pPr>
    </w:p>
    <w:p w:rsidR="00B874FF" w:rsidRPr="00C44ED1" w:rsidRDefault="00B874FF" w:rsidP="00B874FF">
      <w:pPr>
        <w:numPr>
          <w:ilvl w:val="0"/>
          <w:numId w:val="30"/>
        </w:numPr>
        <w:tabs>
          <w:tab w:val="num" w:pos="720"/>
        </w:tabs>
        <w:spacing w:after="0" w:line="240" w:lineRule="auto"/>
        <w:ind w:left="0" w:firstLine="0"/>
        <w:contextualSpacing/>
        <w:mirrorIndents/>
        <w:jc w:val="both"/>
        <w:rPr>
          <w:rFonts w:cs="Times New Roman"/>
          <w:sz w:val="24"/>
          <w:szCs w:val="24"/>
        </w:rPr>
      </w:pPr>
      <w:r w:rsidRPr="000E6920">
        <w:rPr>
          <w:rFonts w:cs="Times New Roman"/>
          <w:b/>
          <w:sz w:val="24"/>
          <w:szCs w:val="24"/>
        </w:rPr>
        <w:lastRenderedPageBreak/>
        <w:t>PAF 2013 indicator:</w:t>
      </w:r>
      <w:r w:rsidRPr="000E6920">
        <w:rPr>
          <w:rFonts w:cs="Times New Roman"/>
          <w:sz w:val="24"/>
          <w:szCs w:val="24"/>
        </w:rPr>
        <w:t xml:space="preserve"> Overall the release of both non-salary recurrent and development funds to the Regions and LGAs through the end of FY was </w:t>
      </w:r>
      <w:r w:rsidRPr="00C44ED1">
        <w:rPr>
          <w:rFonts w:cs="Times New Roman"/>
          <w:b/>
          <w:sz w:val="24"/>
          <w:szCs w:val="24"/>
        </w:rPr>
        <w:t>70 percent</w:t>
      </w:r>
      <w:r w:rsidRPr="00C44ED1">
        <w:rPr>
          <w:rFonts w:cs="Times New Roman"/>
          <w:sz w:val="24"/>
          <w:szCs w:val="24"/>
        </w:rPr>
        <w:t xml:space="preserve">, with </w:t>
      </w:r>
      <w:r w:rsidRPr="00C44ED1">
        <w:rPr>
          <w:rFonts w:cs="Times New Roman"/>
          <w:b/>
          <w:sz w:val="24"/>
          <w:szCs w:val="24"/>
        </w:rPr>
        <w:t>87 percent</w:t>
      </w:r>
      <w:r w:rsidRPr="00C44ED1">
        <w:rPr>
          <w:rFonts w:cs="Times New Roman"/>
          <w:sz w:val="24"/>
          <w:szCs w:val="24"/>
        </w:rPr>
        <w:t xml:space="preserve"> of released funds arriving by Q3</w:t>
      </w:r>
      <w:r w:rsidR="0080256F" w:rsidRPr="00C44ED1">
        <w:rPr>
          <w:rFonts w:cs="Times New Roman"/>
          <w:sz w:val="24"/>
          <w:szCs w:val="24"/>
        </w:rPr>
        <w:t>, up from 60 percent in 2011/12</w:t>
      </w:r>
      <w:r w:rsidRPr="00C44ED1">
        <w:rPr>
          <w:rFonts w:cs="Times New Roman"/>
          <w:sz w:val="24"/>
          <w:szCs w:val="24"/>
        </w:rPr>
        <w:t xml:space="preserve">. </w:t>
      </w:r>
    </w:p>
    <w:p w:rsidR="007131C0" w:rsidRPr="000E6920" w:rsidRDefault="007131C0" w:rsidP="008712CE">
      <w:pPr>
        <w:spacing w:after="0" w:line="240" w:lineRule="auto"/>
        <w:contextualSpacing/>
        <w:mirrorIndents/>
        <w:jc w:val="both"/>
        <w:rPr>
          <w:rFonts w:cs="Times New Roman"/>
          <w:sz w:val="24"/>
          <w:szCs w:val="24"/>
        </w:rPr>
      </w:pPr>
    </w:p>
    <w:p w:rsidR="00885C90" w:rsidRPr="000E6920" w:rsidRDefault="00636976" w:rsidP="00104C7F">
      <w:pPr>
        <w:numPr>
          <w:ilvl w:val="0"/>
          <w:numId w:val="30"/>
        </w:numPr>
        <w:tabs>
          <w:tab w:val="num" w:pos="720"/>
        </w:tabs>
        <w:spacing w:after="0" w:line="240" w:lineRule="auto"/>
        <w:ind w:left="0" w:firstLine="0"/>
        <w:contextualSpacing/>
        <w:mirrorIndents/>
        <w:jc w:val="both"/>
        <w:rPr>
          <w:rFonts w:cs="Times New Roman"/>
          <w:sz w:val="24"/>
          <w:szCs w:val="24"/>
        </w:rPr>
      </w:pPr>
      <w:r w:rsidRPr="000E6920">
        <w:rPr>
          <w:rFonts w:cs="Times New Roman"/>
          <w:b/>
          <w:i/>
          <w:sz w:val="24"/>
          <w:szCs w:val="24"/>
        </w:rPr>
        <w:t>Domestic revenues</w:t>
      </w:r>
      <w:r w:rsidRPr="000E6920">
        <w:rPr>
          <w:rFonts w:cs="Times New Roman"/>
          <w:b/>
          <w:sz w:val="24"/>
          <w:szCs w:val="24"/>
        </w:rPr>
        <w:t>:</w:t>
      </w:r>
      <w:r w:rsidR="00530F3A" w:rsidRPr="000E6920">
        <w:rPr>
          <w:rFonts w:cs="Times New Roman"/>
          <w:b/>
          <w:sz w:val="24"/>
          <w:szCs w:val="24"/>
        </w:rPr>
        <w:t xml:space="preserve"> </w:t>
      </w:r>
      <w:r w:rsidR="000C24FF" w:rsidRPr="000E6920">
        <w:rPr>
          <w:rFonts w:cs="Times New Roman"/>
          <w:b/>
          <w:sz w:val="24"/>
          <w:szCs w:val="24"/>
        </w:rPr>
        <w:t>Domestic revenue collection in 2012/</w:t>
      </w:r>
      <w:r w:rsidR="00E82208" w:rsidRPr="000E6920">
        <w:rPr>
          <w:rFonts w:cs="Times New Roman"/>
          <w:b/>
          <w:sz w:val="24"/>
          <w:szCs w:val="24"/>
        </w:rPr>
        <w:t>13 was</w:t>
      </w:r>
      <w:r w:rsidR="000C24FF" w:rsidRPr="000E6920">
        <w:rPr>
          <w:rFonts w:cs="Times New Roman"/>
          <w:b/>
          <w:sz w:val="24"/>
          <w:szCs w:val="24"/>
        </w:rPr>
        <w:t xml:space="preserve"> below the target</w:t>
      </w:r>
      <w:r w:rsidR="00F325F4">
        <w:rPr>
          <w:rFonts w:cs="Times New Roman"/>
          <w:b/>
          <w:sz w:val="24"/>
          <w:szCs w:val="24"/>
        </w:rPr>
        <w:t xml:space="preserve"> s</w:t>
      </w:r>
      <w:r w:rsidR="00C02AC0">
        <w:rPr>
          <w:rFonts w:cs="Times New Roman"/>
          <w:b/>
          <w:sz w:val="24"/>
          <w:szCs w:val="24"/>
        </w:rPr>
        <w:t xml:space="preserve">et up in the budget by almost 1 </w:t>
      </w:r>
      <w:r w:rsidR="00F325F4">
        <w:rPr>
          <w:rFonts w:cs="Times New Roman"/>
          <w:b/>
          <w:sz w:val="24"/>
          <w:szCs w:val="24"/>
        </w:rPr>
        <w:t>percent of GDP</w:t>
      </w:r>
      <w:r w:rsidR="00E82208">
        <w:rPr>
          <w:rFonts w:cs="Times New Roman"/>
          <w:sz w:val="24"/>
          <w:szCs w:val="24"/>
        </w:rPr>
        <w:t xml:space="preserve"> </w:t>
      </w:r>
      <w:r w:rsidR="004D774A" w:rsidRPr="000E6920">
        <w:rPr>
          <w:rFonts w:cs="Times New Roman"/>
          <w:sz w:val="24"/>
          <w:szCs w:val="24"/>
        </w:rPr>
        <w:t>(</w:t>
      </w:r>
      <w:r w:rsidR="004D774A" w:rsidRPr="000E6920">
        <w:rPr>
          <w:rFonts w:cs="Times New Roman"/>
          <w:sz w:val="24"/>
          <w:szCs w:val="24"/>
        </w:rPr>
        <w:fldChar w:fldCharType="begin"/>
      </w:r>
      <w:r w:rsidR="004D774A" w:rsidRPr="000E6920">
        <w:rPr>
          <w:rFonts w:cs="Times New Roman"/>
          <w:sz w:val="24"/>
          <w:szCs w:val="24"/>
        </w:rPr>
        <w:instrText xml:space="preserve"> REF _Ref370797090 \h </w:instrText>
      </w:r>
      <w:r w:rsidR="000E6920">
        <w:rPr>
          <w:rFonts w:cs="Times New Roman"/>
          <w:sz w:val="24"/>
          <w:szCs w:val="24"/>
        </w:rPr>
        <w:instrText xml:space="preserve"> \* MERGEFORMAT </w:instrText>
      </w:r>
      <w:r w:rsidR="004D774A" w:rsidRPr="000E6920">
        <w:rPr>
          <w:rFonts w:cs="Times New Roman"/>
          <w:sz w:val="24"/>
          <w:szCs w:val="24"/>
        </w:rPr>
      </w:r>
      <w:r w:rsidR="004D774A" w:rsidRPr="000E6920">
        <w:rPr>
          <w:rFonts w:cs="Times New Roman"/>
          <w:sz w:val="24"/>
          <w:szCs w:val="24"/>
        </w:rPr>
        <w:fldChar w:fldCharType="separate"/>
      </w:r>
      <w:r w:rsidR="005B207F" w:rsidRPr="005B207F">
        <w:rPr>
          <w:sz w:val="24"/>
          <w:szCs w:val="24"/>
        </w:rPr>
        <w:t xml:space="preserve">Table </w:t>
      </w:r>
      <w:r w:rsidR="005B207F" w:rsidRPr="005B207F">
        <w:rPr>
          <w:noProof/>
          <w:sz w:val="24"/>
          <w:szCs w:val="24"/>
        </w:rPr>
        <w:t>5</w:t>
      </w:r>
      <w:r w:rsidR="004D774A" w:rsidRPr="000E6920">
        <w:rPr>
          <w:rFonts w:cs="Times New Roman"/>
          <w:sz w:val="24"/>
          <w:szCs w:val="24"/>
        </w:rPr>
        <w:fldChar w:fldCharType="end"/>
      </w:r>
      <w:r w:rsidR="004D774A" w:rsidRPr="000E6920">
        <w:rPr>
          <w:rFonts w:cs="Times New Roman"/>
          <w:sz w:val="24"/>
          <w:szCs w:val="24"/>
        </w:rPr>
        <w:t>)</w:t>
      </w:r>
      <w:r w:rsidR="000C24FF" w:rsidRPr="000E6920">
        <w:rPr>
          <w:rFonts w:cs="Times New Roman"/>
          <w:sz w:val="24"/>
          <w:szCs w:val="24"/>
        </w:rPr>
        <w:t xml:space="preserve">. </w:t>
      </w:r>
      <w:r w:rsidR="00F325F4">
        <w:rPr>
          <w:rFonts w:cs="Times New Roman"/>
          <w:sz w:val="24"/>
          <w:szCs w:val="24"/>
        </w:rPr>
        <w:t xml:space="preserve"> While tax revenues increased by 0.4 percent of GDP between 2011/12 and 2012/13, </w:t>
      </w:r>
      <w:r w:rsidR="00E82208">
        <w:rPr>
          <w:rFonts w:cs="Times New Roman"/>
          <w:sz w:val="24"/>
          <w:szCs w:val="24"/>
        </w:rPr>
        <w:t>non-tax</w:t>
      </w:r>
      <w:r w:rsidR="00F325F4">
        <w:rPr>
          <w:rFonts w:cs="Times New Roman"/>
          <w:sz w:val="24"/>
          <w:szCs w:val="24"/>
        </w:rPr>
        <w:t xml:space="preserve"> revenues declined by 0.</w:t>
      </w:r>
      <w:r w:rsidR="00C02AC0">
        <w:rPr>
          <w:rFonts w:cs="Times New Roman"/>
          <w:sz w:val="24"/>
          <w:szCs w:val="24"/>
        </w:rPr>
        <w:t>2</w:t>
      </w:r>
      <w:r w:rsidR="00F325F4">
        <w:rPr>
          <w:rFonts w:cs="Times New Roman"/>
          <w:sz w:val="24"/>
          <w:szCs w:val="24"/>
        </w:rPr>
        <w:t xml:space="preserve"> percent of GDP. The relatively good performance in t</w:t>
      </w:r>
      <w:r w:rsidR="007C5B69" w:rsidRPr="000E6920">
        <w:rPr>
          <w:rFonts w:cs="Times New Roman"/>
          <w:sz w:val="24"/>
          <w:szCs w:val="24"/>
        </w:rPr>
        <w:t xml:space="preserve">ax revenue collection was driven by </w:t>
      </w:r>
      <w:r w:rsidR="00C374DB" w:rsidRPr="000E6920">
        <w:rPr>
          <w:rFonts w:cs="Times New Roman"/>
          <w:sz w:val="24"/>
          <w:szCs w:val="24"/>
        </w:rPr>
        <w:t xml:space="preserve">the </w:t>
      </w:r>
      <w:r w:rsidR="007C5B69" w:rsidRPr="000E6920">
        <w:rPr>
          <w:rFonts w:cs="Times New Roman"/>
          <w:sz w:val="24"/>
          <w:szCs w:val="24"/>
        </w:rPr>
        <w:t xml:space="preserve">collection of domestic taxes especially corporate income taxes and withholding taxes which grew by 33 percent and 37 percent, respectively, </w:t>
      </w:r>
      <w:r w:rsidR="00F325F4">
        <w:rPr>
          <w:rFonts w:cs="Times New Roman"/>
          <w:sz w:val="24"/>
          <w:szCs w:val="24"/>
        </w:rPr>
        <w:t xml:space="preserve">between </w:t>
      </w:r>
      <w:r w:rsidR="007C5B69" w:rsidRPr="000E6920">
        <w:rPr>
          <w:rFonts w:cs="Times New Roman"/>
          <w:sz w:val="24"/>
          <w:szCs w:val="24"/>
        </w:rPr>
        <w:t xml:space="preserve">2012/13 </w:t>
      </w:r>
      <w:r w:rsidR="00F325F4">
        <w:rPr>
          <w:rFonts w:cs="Times New Roman"/>
          <w:sz w:val="24"/>
          <w:szCs w:val="24"/>
        </w:rPr>
        <w:t xml:space="preserve">and </w:t>
      </w:r>
      <w:r w:rsidR="007C5B69" w:rsidRPr="000E6920">
        <w:rPr>
          <w:rFonts w:cs="Times New Roman"/>
          <w:sz w:val="24"/>
          <w:szCs w:val="24"/>
        </w:rPr>
        <w:t xml:space="preserve"> 2011/12. </w:t>
      </w:r>
      <w:r w:rsidR="00F325F4">
        <w:rPr>
          <w:rFonts w:cs="Times New Roman"/>
          <w:sz w:val="24"/>
          <w:szCs w:val="24"/>
        </w:rPr>
        <w:t xml:space="preserve">These improvements are explained by </w:t>
      </w:r>
      <w:r w:rsidR="000C7300" w:rsidRPr="000E6920">
        <w:rPr>
          <w:rFonts w:cs="Times New Roman"/>
          <w:sz w:val="24"/>
          <w:szCs w:val="24"/>
        </w:rPr>
        <w:t xml:space="preserve">intensification of tax audits, </w:t>
      </w:r>
      <w:r w:rsidR="007C5B69" w:rsidRPr="000E6920">
        <w:rPr>
          <w:rFonts w:cs="Times New Roman"/>
          <w:sz w:val="24"/>
          <w:szCs w:val="24"/>
        </w:rPr>
        <w:t>recovery of tax arrears</w:t>
      </w:r>
      <w:r w:rsidR="000C7300" w:rsidRPr="000E6920">
        <w:rPr>
          <w:rFonts w:cs="Times New Roman"/>
          <w:sz w:val="24"/>
          <w:szCs w:val="24"/>
        </w:rPr>
        <w:t>, increas</w:t>
      </w:r>
      <w:r w:rsidR="00C374DB" w:rsidRPr="000E6920">
        <w:rPr>
          <w:rFonts w:cs="Times New Roman"/>
          <w:sz w:val="24"/>
          <w:szCs w:val="24"/>
        </w:rPr>
        <w:t>ing</w:t>
      </w:r>
      <w:r w:rsidR="000C7300" w:rsidRPr="000E6920">
        <w:rPr>
          <w:rFonts w:cs="Times New Roman"/>
          <w:sz w:val="24"/>
          <w:szCs w:val="24"/>
        </w:rPr>
        <w:t xml:space="preserve"> transactions that attract withholding tax</w:t>
      </w:r>
      <w:r w:rsidR="00C374DB" w:rsidRPr="000E6920">
        <w:rPr>
          <w:rFonts w:cs="Times New Roman"/>
          <w:sz w:val="24"/>
          <w:szCs w:val="24"/>
        </w:rPr>
        <w:t>es</w:t>
      </w:r>
      <w:r w:rsidR="000C7300" w:rsidRPr="000E6920">
        <w:rPr>
          <w:rFonts w:cs="Times New Roman"/>
          <w:sz w:val="24"/>
          <w:szCs w:val="24"/>
        </w:rPr>
        <w:t xml:space="preserve"> (dividend payment to shareholders by companies)</w:t>
      </w:r>
      <w:r w:rsidR="00F325F4">
        <w:rPr>
          <w:rFonts w:cs="Times New Roman"/>
          <w:sz w:val="24"/>
          <w:szCs w:val="24"/>
        </w:rPr>
        <w:t xml:space="preserve">, and </w:t>
      </w:r>
      <w:r w:rsidR="000C7300" w:rsidRPr="000E6920">
        <w:rPr>
          <w:rFonts w:cs="Times New Roman"/>
          <w:sz w:val="24"/>
          <w:szCs w:val="24"/>
        </w:rPr>
        <w:t xml:space="preserve">enforcement on the use of </w:t>
      </w:r>
      <w:r w:rsidR="00D622B6" w:rsidRPr="000E6920">
        <w:rPr>
          <w:rFonts w:cs="Times New Roman"/>
          <w:sz w:val="24"/>
          <w:szCs w:val="24"/>
        </w:rPr>
        <w:t>Electronic Fiscal Devices (</w:t>
      </w:r>
      <w:r w:rsidR="000C7300" w:rsidRPr="000E6920">
        <w:rPr>
          <w:rFonts w:cs="Times New Roman"/>
          <w:sz w:val="24"/>
          <w:szCs w:val="24"/>
        </w:rPr>
        <w:t>EFDs</w:t>
      </w:r>
      <w:r w:rsidR="00D622B6" w:rsidRPr="000E6920">
        <w:rPr>
          <w:rFonts w:cs="Times New Roman"/>
          <w:sz w:val="24"/>
          <w:szCs w:val="24"/>
        </w:rPr>
        <w:t>)</w:t>
      </w:r>
      <w:r w:rsidR="00F325F4">
        <w:rPr>
          <w:rFonts w:cs="Times New Roman"/>
          <w:sz w:val="24"/>
          <w:szCs w:val="24"/>
        </w:rPr>
        <w:t>.</w:t>
      </w:r>
    </w:p>
    <w:p w:rsidR="00104C7F" w:rsidRPr="000E6920" w:rsidRDefault="00104C7F" w:rsidP="00104C7F">
      <w:pPr>
        <w:spacing w:after="0" w:line="240" w:lineRule="auto"/>
        <w:contextualSpacing/>
        <w:mirrorIndents/>
        <w:jc w:val="both"/>
        <w:rPr>
          <w:rFonts w:cs="Times New Roman"/>
          <w:sz w:val="24"/>
          <w:szCs w:val="24"/>
        </w:rPr>
      </w:pPr>
    </w:p>
    <w:p w:rsidR="008A7719" w:rsidRPr="004D774A" w:rsidRDefault="004D774A" w:rsidP="009B52AE">
      <w:pPr>
        <w:pStyle w:val="Caption"/>
        <w:spacing w:after="120"/>
        <w:jc w:val="center"/>
        <w:rPr>
          <w:rFonts w:cs="Times New Roman"/>
          <w:color w:val="auto"/>
          <w:sz w:val="22"/>
          <w:szCs w:val="22"/>
        </w:rPr>
      </w:pPr>
      <w:bookmarkStart w:id="10" w:name="_Ref370797090"/>
      <w:r w:rsidRPr="004D774A">
        <w:rPr>
          <w:color w:val="auto"/>
          <w:sz w:val="22"/>
          <w:szCs w:val="22"/>
        </w:rPr>
        <w:t xml:space="preserve">Table </w:t>
      </w:r>
      <w:r w:rsidRPr="004D774A">
        <w:rPr>
          <w:color w:val="auto"/>
          <w:sz w:val="22"/>
          <w:szCs w:val="22"/>
        </w:rPr>
        <w:fldChar w:fldCharType="begin"/>
      </w:r>
      <w:r w:rsidRPr="004D774A">
        <w:rPr>
          <w:color w:val="auto"/>
          <w:sz w:val="22"/>
          <w:szCs w:val="22"/>
        </w:rPr>
        <w:instrText xml:space="preserve"> SEQ Table \* ARABIC </w:instrText>
      </w:r>
      <w:r w:rsidRPr="004D774A">
        <w:rPr>
          <w:color w:val="auto"/>
          <w:sz w:val="22"/>
          <w:szCs w:val="22"/>
        </w:rPr>
        <w:fldChar w:fldCharType="separate"/>
      </w:r>
      <w:r w:rsidR="005B207F">
        <w:rPr>
          <w:noProof/>
          <w:color w:val="auto"/>
          <w:sz w:val="22"/>
          <w:szCs w:val="22"/>
        </w:rPr>
        <w:t>5</w:t>
      </w:r>
      <w:r w:rsidRPr="004D774A">
        <w:rPr>
          <w:color w:val="auto"/>
          <w:sz w:val="22"/>
          <w:szCs w:val="22"/>
        </w:rPr>
        <w:fldChar w:fldCharType="end"/>
      </w:r>
      <w:bookmarkEnd w:id="10"/>
      <w:r w:rsidRPr="004D774A">
        <w:rPr>
          <w:color w:val="auto"/>
          <w:sz w:val="22"/>
          <w:szCs w:val="22"/>
        </w:rPr>
        <w:t>: Domestic revenue trends (in percent of GDP)</w:t>
      </w:r>
    </w:p>
    <w:p w:rsidR="00636976" w:rsidRDefault="00C5537E" w:rsidP="009B52AE">
      <w:pPr>
        <w:spacing w:after="0" w:line="240" w:lineRule="auto"/>
        <w:contextualSpacing/>
        <w:mirrorIndents/>
        <w:jc w:val="center"/>
        <w:rPr>
          <w:rFonts w:cs="Times New Roman"/>
          <w:b/>
          <w:sz w:val="24"/>
          <w:szCs w:val="24"/>
        </w:rPr>
      </w:pPr>
      <w:r w:rsidRPr="00C5537E">
        <w:rPr>
          <w:noProof/>
        </w:rPr>
        <w:drawing>
          <wp:inline distT="0" distB="0" distL="0" distR="0" wp14:anchorId="3F2D2A64" wp14:editId="42C01518">
            <wp:extent cx="5613400" cy="1540933"/>
            <wp:effectExtent l="0" t="0" r="635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25196" cy="1544171"/>
                    </a:xfrm>
                    <a:prstGeom prst="rect">
                      <a:avLst/>
                    </a:prstGeom>
                    <a:noFill/>
                    <a:ln>
                      <a:noFill/>
                    </a:ln>
                  </pic:spPr>
                </pic:pic>
              </a:graphicData>
            </a:graphic>
          </wp:inline>
        </w:drawing>
      </w:r>
    </w:p>
    <w:p w:rsidR="009B52AE" w:rsidRDefault="003F31D8" w:rsidP="009B52AE">
      <w:pPr>
        <w:spacing w:after="0" w:line="240" w:lineRule="auto"/>
        <w:contextualSpacing/>
        <w:mirrorIndents/>
        <w:jc w:val="both"/>
        <w:rPr>
          <w:rFonts w:cs="Times New Roman"/>
          <w:sz w:val="24"/>
          <w:szCs w:val="24"/>
        </w:rPr>
      </w:pPr>
      <w:r>
        <w:rPr>
          <w:rFonts w:cs="Calibri"/>
          <w:bCs/>
        </w:rPr>
        <w:t xml:space="preserve">  </w:t>
      </w:r>
      <w:r w:rsidR="00C5537E">
        <w:rPr>
          <w:rFonts w:cs="Calibri"/>
          <w:bCs/>
        </w:rPr>
        <w:t xml:space="preserve"> </w:t>
      </w:r>
      <w:r w:rsidR="00331A3E">
        <w:rPr>
          <w:rFonts w:cs="Calibri"/>
          <w:bCs/>
        </w:rPr>
        <w:t xml:space="preserve">  </w:t>
      </w:r>
      <w:r w:rsidR="00DA05F0">
        <w:rPr>
          <w:rFonts w:cs="Calibri"/>
          <w:bCs/>
        </w:rPr>
        <w:t>Source:</w:t>
      </w:r>
      <w:r w:rsidR="007439EA">
        <w:rPr>
          <w:rFonts w:cs="Calibri"/>
          <w:bCs/>
        </w:rPr>
        <w:t xml:space="preserve">  Ministry of Finance</w:t>
      </w:r>
    </w:p>
    <w:p w:rsidR="0070338C" w:rsidRPr="0070338C" w:rsidRDefault="0070338C" w:rsidP="0070338C">
      <w:pPr>
        <w:spacing w:after="0" w:line="240" w:lineRule="auto"/>
        <w:contextualSpacing/>
        <w:mirrorIndents/>
        <w:jc w:val="both"/>
        <w:rPr>
          <w:rFonts w:cs="Times New Roman"/>
          <w:sz w:val="24"/>
          <w:szCs w:val="24"/>
        </w:rPr>
      </w:pPr>
    </w:p>
    <w:p w:rsidR="007F6669" w:rsidRPr="000E6920" w:rsidRDefault="00F325F4" w:rsidP="007F6669">
      <w:pPr>
        <w:numPr>
          <w:ilvl w:val="0"/>
          <w:numId w:val="30"/>
        </w:numPr>
        <w:tabs>
          <w:tab w:val="num" w:pos="720"/>
        </w:tabs>
        <w:spacing w:after="0" w:line="240" w:lineRule="auto"/>
        <w:ind w:left="0" w:firstLine="0"/>
        <w:contextualSpacing/>
        <w:mirrorIndents/>
        <w:jc w:val="both"/>
        <w:rPr>
          <w:rFonts w:cs="Times New Roman"/>
          <w:sz w:val="24"/>
          <w:szCs w:val="24"/>
        </w:rPr>
      </w:pPr>
      <w:r>
        <w:rPr>
          <w:rFonts w:cs="Times New Roman"/>
          <w:b/>
          <w:sz w:val="24"/>
          <w:szCs w:val="24"/>
        </w:rPr>
        <w:t xml:space="preserve">In contrast to the </w:t>
      </w:r>
      <w:r w:rsidR="007F6669" w:rsidRPr="000E6920">
        <w:rPr>
          <w:rFonts w:cs="Times New Roman"/>
          <w:b/>
          <w:sz w:val="24"/>
          <w:szCs w:val="24"/>
        </w:rPr>
        <w:t>good performance in collection</w:t>
      </w:r>
      <w:r>
        <w:rPr>
          <w:rFonts w:cs="Times New Roman"/>
          <w:b/>
          <w:sz w:val="24"/>
          <w:szCs w:val="24"/>
        </w:rPr>
        <w:t xml:space="preserve"> of direct taxes</w:t>
      </w:r>
      <w:r w:rsidR="007F6669" w:rsidRPr="000E6920">
        <w:rPr>
          <w:rFonts w:cs="Times New Roman"/>
          <w:b/>
          <w:sz w:val="24"/>
          <w:szCs w:val="24"/>
        </w:rPr>
        <w:t>, domestic VAT</w:t>
      </w:r>
      <w:r>
        <w:rPr>
          <w:rFonts w:cs="Times New Roman"/>
          <w:b/>
          <w:sz w:val="24"/>
          <w:szCs w:val="24"/>
        </w:rPr>
        <w:t>, excise, PAYE,</w:t>
      </w:r>
      <w:r w:rsidR="007F6669" w:rsidRPr="000E6920">
        <w:rPr>
          <w:rFonts w:cs="Times New Roman"/>
          <w:b/>
          <w:sz w:val="24"/>
          <w:szCs w:val="24"/>
        </w:rPr>
        <w:t xml:space="preserve"> and international taxes underperformed in 2012/13</w:t>
      </w:r>
      <w:r w:rsidR="007F6669" w:rsidRPr="000E6920">
        <w:rPr>
          <w:rFonts w:cs="Times New Roman"/>
          <w:sz w:val="24"/>
          <w:szCs w:val="24"/>
        </w:rPr>
        <w:t xml:space="preserve">.  </w:t>
      </w:r>
      <w:r>
        <w:rPr>
          <w:rFonts w:cs="Times New Roman"/>
          <w:sz w:val="24"/>
          <w:szCs w:val="24"/>
        </w:rPr>
        <w:t xml:space="preserve">Slower </w:t>
      </w:r>
      <w:r w:rsidR="007F6669" w:rsidRPr="000E6920">
        <w:rPr>
          <w:rFonts w:cs="Times New Roman"/>
          <w:sz w:val="24"/>
          <w:szCs w:val="24"/>
        </w:rPr>
        <w:t xml:space="preserve">construction and manufacturing </w:t>
      </w:r>
      <w:r>
        <w:rPr>
          <w:rFonts w:cs="Times New Roman"/>
          <w:sz w:val="24"/>
          <w:szCs w:val="24"/>
        </w:rPr>
        <w:t xml:space="preserve">activities </w:t>
      </w:r>
      <w:r w:rsidR="007F6669" w:rsidRPr="000E6920">
        <w:rPr>
          <w:rFonts w:cs="Times New Roman"/>
          <w:sz w:val="24"/>
          <w:szCs w:val="24"/>
        </w:rPr>
        <w:t>together with huge VAT refunds to TANESCO accounted for about 10 percent and 17 percent shortfalls in VAT and excise tax collections, respectively. Non implementation of salary adjustment by many private companies, following the pay rise by the public sector in 2012/13, and significant increase in employment tax refunds resulting from retrenchments in some public enterprises accounted for</w:t>
      </w:r>
      <w:r w:rsidR="00C374DB" w:rsidRPr="000E6920">
        <w:rPr>
          <w:rFonts w:cs="Times New Roman"/>
          <w:sz w:val="24"/>
          <w:szCs w:val="24"/>
        </w:rPr>
        <w:t xml:space="preserve"> a</w:t>
      </w:r>
      <w:r w:rsidR="007F6669" w:rsidRPr="000E6920">
        <w:rPr>
          <w:rFonts w:cs="Times New Roman"/>
          <w:sz w:val="24"/>
          <w:szCs w:val="24"/>
        </w:rPr>
        <w:t xml:space="preserve"> shortfall of about 3 percent in PAYE collection. Decline in volumes and shift in composition of imports from consumer goods to intermediate goods accounted for underperformance in international tax collection. </w:t>
      </w:r>
    </w:p>
    <w:p w:rsidR="007F6669" w:rsidRPr="000E6920" w:rsidRDefault="007F6669" w:rsidP="009B52AE">
      <w:pPr>
        <w:spacing w:after="0" w:line="240" w:lineRule="auto"/>
        <w:contextualSpacing/>
        <w:mirrorIndents/>
        <w:jc w:val="both"/>
        <w:rPr>
          <w:rFonts w:cs="Times New Roman"/>
          <w:sz w:val="24"/>
          <w:szCs w:val="24"/>
        </w:rPr>
      </w:pPr>
    </w:p>
    <w:p w:rsidR="0070338C" w:rsidRDefault="00413294" w:rsidP="0070338C">
      <w:pPr>
        <w:numPr>
          <w:ilvl w:val="0"/>
          <w:numId w:val="30"/>
        </w:numPr>
        <w:tabs>
          <w:tab w:val="num" w:pos="720"/>
        </w:tabs>
        <w:spacing w:after="0" w:line="240" w:lineRule="auto"/>
        <w:ind w:left="0" w:firstLine="0"/>
        <w:contextualSpacing/>
        <w:mirrorIndents/>
        <w:jc w:val="both"/>
        <w:rPr>
          <w:rFonts w:cs="Times New Roman"/>
          <w:sz w:val="24"/>
          <w:szCs w:val="24"/>
        </w:rPr>
      </w:pPr>
      <w:r w:rsidRPr="000E6920">
        <w:rPr>
          <w:rFonts w:cs="Times New Roman"/>
          <w:b/>
          <w:sz w:val="24"/>
          <w:szCs w:val="24"/>
        </w:rPr>
        <w:t xml:space="preserve">Non-tax revenue collection </w:t>
      </w:r>
      <w:r w:rsidR="00F325F4">
        <w:rPr>
          <w:rFonts w:cs="Times New Roman"/>
          <w:b/>
          <w:sz w:val="24"/>
          <w:szCs w:val="24"/>
        </w:rPr>
        <w:t>was significantly lower than targeted</w:t>
      </w:r>
      <w:r w:rsidR="003F60BA">
        <w:rPr>
          <w:rFonts w:cs="Times New Roman"/>
          <w:b/>
          <w:sz w:val="24"/>
          <w:szCs w:val="24"/>
        </w:rPr>
        <w:t xml:space="preserve"> </w:t>
      </w:r>
      <w:r w:rsidRPr="000E6920">
        <w:rPr>
          <w:rFonts w:cs="Times New Roman"/>
          <w:b/>
          <w:sz w:val="24"/>
          <w:szCs w:val="24"/>
        </w:rPr>
        <w:t>in 2012/13, a shortfall of about 30 percent</w:t>
      </w:r>
      <w:r w:rsidRPr="000E6920">
        <w:rPr>
          <w:rFonts w:cs="Times New Roman"/>
          <w:sz w:val="24"/>
          <w:szCs w:val="24"/>
        </w:rPr>
        <w:t xml:space="preserve">.  Delays in application of new rates of land rents passed by Parliament in August 2012, together with delays in payment of dividends by some </w:t>
      </w:r>
      <w:proofErr w:type="spellStart"/>
      <w:r w:rsidRPr="000E6920">
        <w:rPr>
          <w:rFonts w:cs="Times New Roman"/>
          <w:sz w:val="24"/>
          <w:szCs w:val="24"/>
        </w:rPr>
        <w:t>parastatals</w:t>
      </w:r>
      <w:proofErr w:type="spellEnd"/>
      <w:r w:rsidRPr="000E6920">
        <w:rPr>
          <w:rFonts w:cs="Times New Roman"/>
          <w:sz w:val="24"/>
          <w:szCs w:val="24"/>
        </w:rPr>
        <w:t xml:space="preserve"> and non-remittance of 10 percent of gross incomes of regulatory authorities to consolidate fund partly accounted </w:t>
      </w:r>
      <w:r w:rsidR="00C64BC2" w:rsidRPr="000E6920">
        <w:rPr>
          <w:rFonts w:cs="Times New Roman"/>
          <w:sz w:val="24"/>
          <w:szCs w:val="24"/>
        </w:rPr>
        <w:t>for the</w:t>
      </w:r>
      <w:r w:rsidRPr="000E6920">
        <w:rPr>
          <w:rFonts w:cs="Times New Roman"/>
          <w:sz w:val="24"/>
          <w:szCs w:val="24"/>
        </w:rPr>
        <w:t xml:space="preserve"> shortfall.  </w:t>
      </w:r>
    </w:p>
    <w:p w:rsidR="0070338C" w:rsidRPr="0070338C" w:rsidRDefault="0070338C" w:rsidP="0070338C">
      <w:pPr>
        <w:spacing w:after="0" w:line="240" w:lineRule="auto"/>
        <w:contextualSpacing/>
        <w:mirrorIndents/>
        <w:jc w:val="both"/>
        <w:rPr>
          <w:rFonts w:cs="Times New Roman"/>
          <w:sz w:val="24"/>
          <w:szCs w:val="24"/>
        </w:rPr>
      </w:pPr>
    </w:p>
    <w:p w:rsidR="0070338C" w:rsidRPr="003F60BA" w:rsidRDefault="00870536" w:rsidP="003F60BA">
      <w:pPr>
        <w:numPr>
          <w:ilvl w:val="0"/>
          <w:numId w:val="30"/>
        </w:numPr>
        <w:tabs>
          <w:tab w:val="num" w:pos="720"/>
        </w:tabs>
        <w:spacing w:after="0" w:line="240" w:lineRule="auto"/>
        <w:ind w:left="0" w:firstLine="0"/>
        <w:contextualSpacing/>
        <w:mirrorIndents/>
        <w:jc w:val="both"/>
        <w:rPr>
          <w:rFonts w:cs="Times New Roman"/>
          <w:sz w:val="24"/>
          <w:szCs w:val="24"/>
        </w:rPr>
      </w:pPr>
      <w:r>
        <w:rPr>
          <w:rFonts w:cs="Times New Roman"/>
          <w:b/>
          <w:sz w:val="24"/>
          <w:szCs w:val="24"/>
        </w:rPr>
        <w:t xml:space="preserve">The lower than expected domestic revenues was recorded in spite of a </w:t>
      </w:r>
      <w:r w:rsidR="0070338C" w:rsidRPr="003F60BA">
        <w:rPr>
          <w:rFonts w:cs="Times New Roman"/>
          <w:b/>
          <w:sz w:val="24"/>
          <w:szCs w:val="24"/>
        </w:rPr>
        <w:t xml:space="preserve">significant </w:t>
      </w:r>
      <w:r>
        <w:rPr>
          <w:rFonts w:cs="Times New Roman"/>
          <w:b/>
          <w:sz w:val="24"/>
          <w:szCs w:val="24"/>
        </w:rPr>
        <w:t xml:space="preserve">effort to </w:t>
      </w:r>
      <w:r w:rsidR="003F60BA">
        <w:rPr>
          <w:rFonts w:cs="Times New Roman"/>
          <w:b/>
          <w:sz w:val="24"/>
          <w:szCs w:val="24"/>
        </w:rPr>
        <w:t xml:space="preserve">reduce </w:t>
      </w:r>
      <w:r w:rsidR="003F60BA" w:rsidRPr="003F60BA">
        <w:rPr>
          <w:rFonts w:cs="Times New Roman"/>
          <w:b/>
          <w:sz w:val="24"/>
          <w:szCs w:val="24"/>
        </w:rPr>
        <w:t>tax</w:t>
      </w:r>
      <w:r w:rsidR="0070338C" w:rsidRPr="003F60BA">
        <w:rPr>
          <w:rFonts w:cs="Times New Roman"/>
          <w:b/>
          <w:sz w:val="24"/>
          <w:szCs w:val="24"/>
        </w:rPr>
        <w:t xml:space="preserve"> exemptions in 2012/13</w:t>
      </w:r>
      <w:r>
        <w:rPr>
          <w:rFonts w:cs="Times New Roman"/>
          <w:b/>
          <w:sz w:val="24"/>
          <w:szCs w:val="24"/>
        </w:rPr>
        <w:t xml:space="preserve">. </w:t>
      </w:r>
      <w:r w:rsidR="0070338C" w:rsidRPr="003F60BA">
        <w:rPr>
          <w:rFonts w:cs="Times New Roman"/>
          <w:b/>
          <w:sz w:val="24"/>
          <w:szCs w:val="24"/>
        </w:rPr>
        <w:t xml:space="preserve"> </w:t>
      </w:r>
      <w:r w:rsidR="0070338C" w:rsidRPr="003F60BA">
        <w:rPr>
          <w:rFonts w:cs="Times New Roman"/>
          <w:sz w:val="24"/>
          <w:szCs w:val="24"/>
        </w:rPr>
        <w:t xml:space="preserve">Preliminary data shows that tax exemptions as a </w:t>
      </w:r>
      <w:r w:rsidR="0070338C" w:rsidRPr="003F60BA">
        <w:rPr>
          <w:rFonts w:cs="Times New Roman"/>
          <w:sz w:val="24"/>
          <w:szCs w:val="24"/>
        </w:rPr>
        <w:lastRenderedPageBreak/>
        <w:t xml:space="preserve">percentage of GDP declined to </w:t>
      </w:r>
      <w:r w:rsidR="0070338C" w:rsidRPr="00097FFD">
        <w:rPr>
          <w:rFonts w:cs="Times New Roman"/>
          <w:b/>
          <w:sz w:val="24"/>
          <w:szCs w:val="24"/>
        </w:rPr>
        <w:t>3.1 percent in 2012/13 (PAF 2013 indicator),</w:t>
      </w:r>
      <w:r w:rsidR="0070338C" w:rsidRPr="003F60BA">
        <w:rPr>
          <w:rFonts w:cs="Times New Roman"/>
          <w:sz w:val="24"/>
          <w:szCs w:val="24"/>
        </w:rPr>
        <w:t xml:space="preserve"> from 3.9 percent of GDP in 2011/12 (</w:t>
      </w:r>
      <w:r w:rsidR="0070338C" w:rsidRPr="003F60BA">
        <w:rPr>
          <w:rFonts w:cs="Times New Roman"/>
          <w:sz w:val="24"/>
          <w:szCs w:val="24"/>
        </w:rPr>
        <w:fldChar w:fldCharType="begin"/>
      </w:r>
      <w:r w:rsidR="0070338C" w:rsidRPr="003F60BA">
        <w:rPr>
          <w:rFonts w:cs="Times New Roman"/>
          <w:sz w:val="24"/>
          <w:szCs w:val="24"/>
        </w:rPr>
        <w:instrText xml:space="preserve"> REF _Ref370801276 \h  \* MERGEFORMAT </w:instrText>
      </w:r>
      <w:r w:rsidR="0070338C" w:rsidRPr="003F60BA">
        <w:rPr>
          <w:rFonts w:cs="Times New Roman"/>
          <w:sz w:val="24"/>
          <w:szCs w:val="24"/>
        </w:rPr>
      </w:r>
      <w:r w:rsidR="0070338C" w:rsidRPr="003F60BA">
        <w:rPr>
          <w:rFonts w:cs="Times New Roman"/>
          <w:sz w:val="24"/>
          <w:szCs w:val="24"/>
        </w:rPr>
        <w:fldChar w:fldCharType="separate"/>
      </w:r>
      <w:r w:rsidR="005B207F" w:rsidRPr="005B207F">
        <w:rPr>
          <w:sz w:val="24"/>
          <w:szCs w:val="24"/>
        </w:rPr>
        <w:t xml:space="preserve">Table </w:t>
      </w:r>
      <w:r w:rsidR="005B207F" w:rsidRPr="005B207F">
        <w:rPr>
          <w:noProof/>
          <w:sz w:val="24"/>
          <w:szCs w:val="24"/>
        </w:rPr>
        <w:t>6</w:t>
      </w:r>
      <w:r w:rsidR="0070338C" w:rsidRPr="003F60BA">
        <w:rPr>
          <w:rFonts w:cs="Times New Roman"/>
          <w:sz w:val="24"/>
          <w:szCs w:val="24"/>
        </w:rPr>
        <w:fldChar w:fldCharType="end"/>
      </w:r>
      <w:r w:rsidR="0070338C" w:rsidRPr="003F60BA">
        <w:rPr>
          <w:rFonts w:cs="Times New Roman"/>
          <w:sz w:val="24"/>
          <w:szCs w:val="24"/>
        </w:rPr>
        <w:t xml:space="preserve">). Both customs and domestic revenue </w:t>
      </w:r>
      <w:r w:rsidR="003F60BA" w:rsidRPr="003F60BA">
        <w:rPr>
          <w:rFonts w:cs="Times New Roman"/>
          <w:sz w:val="24"/>
          <w:szCs w:val="24"/>
        </w:rPr>
        <w:t>departments recorded</w:t>
      </w:r>
      <w:r w:rsidR="0070338C" w:rsidRPr="003F60BA">
        <w:rPr>
          <w:rFonts w:cs="Times New Roman"/>
          <w:sz w:val="24"/>
          <w:szCs w:val="24"/>
        </w:rPr>
        <w:t xml:space="preserve"> a decline in tax exemptions.  That said, tax exemptions as percent of GDP remain relatively high, accounted for largely by exemptions of VAT and custom duties to private companies and individuals, particularly mining companies, and TIC registered companies.</w:t>
      </w:r>
    </w:p>
    <w:p w:rsidR="0061735B" w:rsidRDefault="0061735B" w:rsidP="0080385B">
      <w:pPr>
        <w:spacing w:after="0" w:line="240" w:lineRule="auto"/>
        <w:contextualSpacing/>
        <w:mirrorIndents/>
        <w:jc w:val="both"/>
        <w:rPr>
          <w:rFonts w:cs="Times New Roman"/>
          <w:sz w:val="24"/>
          <w:szCs w:val="24"/>
        </w:rPr>
      </w:pPr>
    </w:p>
    <w:p w:rsidR="00A05BB0" w:rsidRPr="00A05BB0" w:rsidRDefault="00A05BB0" w:rsidP="009B52AE">
      <w:pPr>
        <w:pStyle w:val="Caption"/>
        <w:spacing w:after="120"/>
        <w:jc w:val="center"/>
        <w:rPr>
          <w:rFonts w:cs="Times New Roman"/>
          <w:color w:val="auto"/>
          <w:sz w:val="22"/>
          <w:szCs w:val="22"/>
        </w:rPr>
      </w:pPr>
      <w:bookmarkStart w:id="11" w:name="_Ref370801276"/>
      <w:r w:rsidRPr="00A05BB0">
        <w:rPr>
          <w:color w:val="auto"/>
          <w:sz w:val="22"/>
          <w:szCs w:val="22"/>
        </w:rPr>
        <w:t xml:space="preserve">Table </w:t>
      </w:r>
      <w:r w:rsidRPr="00A05BB0">
        <w:rPr>
          <w:color w:val="auto"/>
          <w:sz w:val="22"/>
          <w:szCs w:val="22"/>
        </w:rPr>
        <w:fldChar w:fldCharType="begin"/>
      </w:r>
      <w:r w:rsidRPr="00A05BB0">
        <w:rPr>
          <w:color w:val="auto"/>
          <w:sz w:val="22"/>
          <w:szCs w:val="22"/>
        </w:rPr>
        <w:instrText xml:space="preserve"> SEQ Table \* ARABIC </w:instrText>
      </w:r>
      <w:r w:rsidRPr="00A05BB0">
        <w:rPr>
          <w:color w:val="auto"/>
          <w:sz w:val="22"/>
          <w:szCs w:val="22"/>
        </w:rPr>
        <w:fldChar w:fldCharType="separate"/>
      </w:r>
      <w:r w:rsidR="005B207F">
        <w:rPr>
          <w:noProof/>
          <w:color w:val="auto"/>
          <w:sz w:val="22"/>
          <w:szCs w:val="22"/>
        </w:rPr>
        <w:t>6</w:t>
      </w:r>
      <w:r w:rsidRPr="00A05BB0">
        <w:rPr>
          <w:color w:val="auto"/>
          <w:sz w:val="22"/>
          <w:szCs w:val="22"/>
        </w:rPr>
        <w:fldChar w:fldCharType="end"/>
      </w:r>
      <w:bookmarkEnd w:id="11"/>
      <w:r w:rsidRPr="00A05BB0">
        <w:rPr>
          <w:color w:val="auto"/>
          <w:sz w:val="22"/>
          <w:szCs w:val="22"/>
        </w:rPr>
        <w:t>: Tax exemptions trends</w:t>
      </w:r>
    </w:p>
    <w:p w:rsidR="0061735B" w:rsidRDefault="0061735B" w:rsidP="002977B6">
      <w:pPr>
        <w:spacing w:after="0" w:line="240" w:lineRule="auto"/>
        <w:contextualSpacing/>
        <w:mirrorIndents/>
        <w:jc w:val="center"/>
        <w:rPr>
          <w:rFonts w:cs="Times New Roman"/>
          <w:sz w:val="24"/>
          <w:szCs w:val="24"/>
        </w:rPr>
      </w:pPr>
      <w:r w:rsidRPr="0061735B">
        <w:rPr>
          <w:noProof/>
        </w:rPr>
        <w:drawing>
          <wp:inline distT="0" distB="0" distL="0" distR="0" wp14:anchorId="5DF62098" wp14:editId="464D501E">
            <wp:extent cx="5830349" cy="28606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30402" cy="2860672"/>
                    </a:xfrm>
                    <a:prstGeom prst="rect">
                      <a:avLst/>
                    </a:prstGeom>
                    <a:noFill/>
                    <a:ln>
                      <a:noFill/>
                    </a:ln>
                  </pic:spPr>
                </pic:pic>
              </a:graphicData>
            </a:graphic>
          </wp:inline>
        </w:drawing>
      </w:r>
    </w:p>
    <w:p w:rsidR="0061735B" w:rsidRDefault="007729A5" w:rsidP="0080385B">
      <w:pPr>
        <w:spacing w:after="0" w:line="240" w:lineRule="auto"/>
        <w:contextualSpacing/>
        <w:mirrorIndents/>
        <w:jc w:val="both"/>
        <w:rPr>
          <w:rFonts w:cs="Calibri"/>
          <w:bCs/>
        </w:rPr>
      </w:pPr>
      <w:r>
        <w:rPr>
          <w:rFonts w:cs="Calibri"/>
          <w:bCs/>
        </w:rPr>
        <w:t xml:space="preserve">  </w:t>
      </w:r>
      <w:r w:rsidR="00DA05F0">
        <w:rPr>
          <w:rFonts w:cs="Calibri"/>
          <w:bCs/>
        </w:rPr>
        <w:t>Source:</w:t>
      </w:r>
      <w:r w:rsidR="007439EA">
        <w:rPr>
          <w:rFonts w:cs="Calibri"/>
          <w:bCs/>
        </w:rPr>
        <w:t xml:space="preserve">  </w:t>
      </w:r>
      <w:r>
        <w:rPr>
          <w:rFonts w:cs="Calibri"/>
          <w:bCs/>
        </w:rPr>
        <w:t>Tanzania authorities and World Bank estimates</w:t>
      </w:r>
    </w:p>
    <w:p w:rsidR="001A14E6" w:rsidRPr="00413294" w:rsidRDefault="001A14E6" w:rsidP="001A14E6">
      <w:pPr>
        <w:spacing w:after="0" w:line="240" w:lineRule="auto"/>
        <w:contextualSpacing/>
        <w:mirrorIndents/>
        <w:jc w:val="both"/>
        <w:rPr>
          <w:rFonts w:cs="Times New Roman"/>
          <w:sz w:val="24"/>
          <w:szCs w:val="24"/>
        </w:rPr>
      </w:pPr>
    </w:p>
    <w:p w:rsidR="009B52AE" w:rsidRPr="000E6920" w:rsidRDefault="00870536" w:rsidP="000E6920">
      <w:pPr>
        <w:numPr>
          <w:ilvl w:val="0"/>
          <w:numId w:val="30"/>
        </w:numPr>
        <w:tabs>
          <w:tab w:val="num" w:pos="720"/>
        </w:tabs>
        <w:spacing w:after="0" w:line="240" w:lineRule="auto"/>
        <w:ind w:left="0" w:firstLine="0"/>
        <w:contextualSpacing/>
        <w:mirrorIndents/>
        <w:jc w:val="both"/>
        <w:rPr>
          <w:rFonts w:cs="Times New Roman"/>
          <w:sz w:val="24"/>
          <w:szCs w:val="24"/>
        </w:rPr>
      </w:pPr>
      <w:r>
        <w:rPr>
          <w:rFonts w:cs="Times New Roman"/>
          <w:b/>
          <w:i/>
          <w:sz w:val="24"/>
          <w:szCs w:val="24"/>
        </w:rPr>
        <w:t>Grant</w:t>
      </w:r>
      <w:r w:rsidR="00636976" w:rsidRPr="000E6920">
        <w:rPr>
          <w:rFonts w:cs="Times New Roman"/>
          <w:b/>
          <w:i/>
          <w:sz w:val="24"/>
          <w:szCs w:val="24"/>
        </w:rPr>
        <w:t xml:space="preserve"> and non-concessional external financing</w:t>
      </w:r>
      <w:r w:rsidR="00636976" w:rsidRPr="000E6920">
        <w:rPr>
          <w:rFonts w:cs="Times New Roman"/>
          <w:sz w:val="24"/>
          <w:szCs w:val="24"/>
        </w:rPr>
        <w:t xml:space="preserve">: </w:t>
      </w:r>
      <w:r w:rsidR="0050550C" w:rsidRPr="000E6920">
        <w:rPr>
          <w:rFonts w:cs="Times New Roman"/>
          <w:sz w:val="24"/>
          <w:szCs w:val="24"/>
        </w:rPr>
        <w:t xml:space="preserve"> </w:t>
      </w:r>
      <w:r w:rsidR="008A504C" w:rsidRPr="000E6920">
        <w:rPr>
          <w:rFonts w:cs="Times New Roman"/>
          <w:b/>
          <w:sz w:val="24"/>
          <w:szCs w:val="24"/>
        </w:rPr>
        <w:t xml:space="preserve">Although overall aid </w:t>
      </w:r>
      <w:r w:rsidR="00DE4610" w:rsidRPr="000E6920">
        <w:rPr>
          <w:rFonts w:cs="Times New Roman"/>
          <w:b/>
          <w:sz w:val="24"/>
          <w:szCs w:val="24"/>
        </w:rPr>
        <w:t xml:space="preserve">disbursement in absolute </w:t>
      </w:r>
      <w:r w:rsidR="00417779">
        <w:rPr>
          <w:rFonts w:cs="Times New Roman"/>
          <w:b/>
          <w:sz w:val="24"/>
          <w:szCs w:val="24"/>
        </w:rPr>
        <w:t>value</w:t>
      </w:r>
      <w:r w:rsidR="00DE4610" w:rsidRPr="000E6920">
        <w:rPr>
          <w:rFonts w:cs="Times New Roman"/>
          <w:b/>
          <w:sz w:val="24"/>
          <w:szCs w:val="24"/>
        </w:rPr>
        <w:t xml:space="preserve"> </w:t>
      </w:r>
      <w:r w:rsidR="008A504C" w:rsidRPr="000E6920">
        <w:rPr>
          <w:rFonts w:cs="Times New Roman"/>
          <w:b/>
          <w:sz w:val="24"/>
          <w:szCs w:val="24"/>
        </w:rPr>
        <w:t>remained relatively stable, as share of GDP it continued to fall</w:t>
      </w:r>
      <w:r>
        <w:rPr>
          <w:rFonts w:cs="Times New Roman"/>
          <w:b/>
          <w:sz w:val="24"/>
          <w:szCs w:val="24"/>
        </w:rPr>
        <w:t xml:space="preserve"> in 2012/13</w:t>
      </w:r>
      <w:r w:rsidR="008A504C" w:rsidRPr="000E6920">
        <w:rPr>
          <w:rFonts w:cs="Times New Roman"/>
          <w:sz w:val="24"/>
          <w:szCs w:val="24"/>
        </w:rPr>
        <w:t xml:space="preserve">. </w:t>
      </w:r>
      <w:r>
        <w:rPr>
          <w:rFonts w:cs="Times New Roman"/>
          <w:sz w:val="24"/>
          <w:szCs w:val="24"/>
        </w:rPr>
        <w:t xml:space="preserve">The level of aid was equal to </w:t>
      </w:r>
      <w:r w:rsidR="005B4EBC">
        <w:rPr>
          <w:rFonts w:cs="Times New Roman"/>
          <w:sz w:val="24"/>
          <w:szCs w:val="24"/>
        </w:rPr>
        <w:t>5.7</w:t>
      </w:r>
      <w:r>
        <w:rPr>
          <w:rFonts w:cs="Times New Roman"/>
          <w:sz w:val="24"/>
          <w:szCs w:val="24"/>
        </w:rPr>
        <w:t xml:space="preserve"> percent of GDP, or </w:t>
      </w:r>
      <w:r w:rsidR="005B4EBC">
        <w:rPr>
          <w:rFonts w:cs="Times New Roman"/>
          <w:sz w:val="24"/>
          <w:szCs w:val="24"/>
        </w:rPr>
        <w:t>20</w:t>
      </w:r>
      <w:r>
        <w:rPr>
          <w:rFonts w:cs="Times New Roman"/>
          <w:sz w:val="24"/>
          <w:szCs w:val="24"/>
        </w:rPr>
        <w:t xml:space="preserve"> </w:t>
      </w:r>
      <w:r w:rsidR="00417779">
        <w:rPr>
          <w:rFonts w:cs="Times New Roman"/>
          <w:sz w:val="24"/>
          <w:szCs w:val="24"/>
        </w:rPr>
        <w:t xml:space="preserve">percent </w:t>
      </w:r>
      <w:r>
        <w:rPr>
          <w:rFonts w:cs="Times New Roman"/>
          <w:sz w:val="24"/>
          <w:szCs w:val="24"/>
        </w:rPr>
        <w:t xml:space="preserve">of total </w:t>
      </w:r>
      <w:r w:rsidR="005B4EBC">
        <w:rPr>
          <w:rFonts w:cs="Times New Roman"/>
          <w:sz w:val="24"/>
          <w:szCs w:val="24"/>
        </w:rPr>
        <w:t>public spending</w:t>
      </w:r>
      <w:r>
        <w:rPr>
          <w:rFonts w:cs="Times New Roman"/>
          <w:sz w:val="24"/>
          <w:szCs w:val="24"/>
        </w:rPr>
        <w:t xml:space="preserve">, against </w:t>
      </w:r>
      <w:r w:rsidR="005B4EBC">
        <w:rPr>
          <w:rFonts w:cs="Times New Roman"/>
          <w:sz w:val="24"/>
          <w:szCs w:val="24"/>
        </w:rPr>
        <w:t>6.4 percent</w:t>
      </w:r>
      <w:r>
        <w:rPr>
          <w:rFonts w:cs="Times New Roman"/>
          <w:sz w:val="24"/>
          <w:szCs w:val="24"/>
        </w:rPr>
        <w:t xml:space="preserve"> and </w:t>
      </w:r>
      <w:r w:rsidR="005B4EBC">
        <w:rPr>
          <w:rFonts w:cs="Times New Roman"/>
          <w:sz w:val="24"/>
          <w:szCs w:val="24"/>
        </w:rPr>
        <w:t>24 percent</w:t>
      </w:r>
      <w:r>
        <w:rPr>
          <w:rFonts w:cs="Times New Roman"/>
          <w:sz w:val="24"/>
          <w:szCs w:val="24"/>
        </w:rPr>
        <w:t xml:space="preserve">, respectively in 2011/12. Those levels were as high as </w:t>
      </w:r>
      <w:r w:rsidR="00417779">
        <w:rPr>
          <w:rFonts w:cs="Times New Roman"/>
          <w:sz w:val="24"/>
          <w:szCs w:val="24"/>
        </w:rPr>
        <w:t xml:space="preserve">10.3 percent of GDP </w:t>
      </w:r>
      <w:r>
        <w:rPr>
          <w:rFonts w:cs="Times New Roman"/>
          <w:sz w:val="24"/>
          <w:szCs w:val="24"/>
        </w:rPr>
        <w:t xml:space="preserve">and </w:t>
      </w:r>
      <w:r w:rsidR="00417779">
        <w:rPr>
          <w:rFonts w:cs="Times New Roman"/>
          <w:sz w:val="24"/>
          <w:szCs w:val="24"/>
        </w:rPr>
        <w:t xml:space="preserve">45 </w:t>
      </w:r>
      <w:r>
        <w:rPr>
          <w:rFonts w:cs="Times New Roman"/>
          <w:sz w:val="24"/>
          <w:szCs w:val="24"/>
        </w:rPr>
        <w:t>percent</w:t>
      </w:r>
      <w:r w:rsidR="00417779">
        <w:rPr>
          <w:rFonts w:cs="Times New Roman"/>
          <w:sz w:val="24"/>
          <w:szCs w:val="24"/>
        </w:rPr>
        <w:t xml:space="preserve"> of total public spending</w:t>
      </w:r>
      <w:r>
        <w:rPr>
          <w:rFonts w:cs="Times New Roman"/>
          <w:sz w:val="24"/>
          <w:szCs w:val="24"/>
        </w:rPr>
        <w:t xml:space="preserve"> in 2007/8. </w:t>
      </w:r>
      <w:r w:rsidR="007511DB" w:rsidRPr="000E6920">
        <w:rPr>
          <w:rFonts w:cs="Times New Roman"/>
          <w:sz w:val="24"/>
          <w:szCs w:val="24"/>
        </w:rPr>
        <w:t>Program aid, which includes general budget support and basket funds (loans and grants)</w:t>
      </w:r>
      <w:r w:rsidR="002B65C4" w:rsidRPr="000E6920">
        <w:rPr>
          <w:rFonts w:cs="Times New Roman"/>
          <w:sz w:val="24"/>
          <w:szCs w:val="24"/>
        </w:rPr>
        <w:t xml:space="preserve">, </w:t>
      </w:r>
      <w:r w:rsidR="007511DB" w:rsidRPr="000E6920">
        <w:rPr>
          <w:rFonts w:cs="Times New Roman"/>
          <w:sz w:val="24"/>
          <w:szCs w:val="24"/>
        </w:rPr>
        <w:t>decline</w:t>
      </w:r>
      <w:r>
        <w:rPr>
          <w:rFonts w:cs="Times New Roman"/>
          <w:sz w:val="24"/>
          <w:szCs w:val="24"/>
        </w:rPr>
        <w:t>d</w:t>
      </w:r>
      <w:r w:rsidR="007511DB" w:rsidRPr="000E6920">
        <w:rPr>
          <w:rFonts w:cs="Times New Roman"/>
          <w:sz w:val="24"/>
          <w:szCs w:val="24"/>
        </w:rPr>
        <w:t xml:space="preserve"> faster</w:t>
      </w:r>
      <w:r w:rsidR="00E33C87" w:rsidRPr="000E6920">
        <w:rPr>
          <w:rFonts w:cs="Times New Roman"/>
          <w:sz w:val="24"/>
          <w:szCs w:val="24"/>
        </w:rPr>
        <w:t xml:space="preserve"> as a share of GDP</w:t>
      </w:r>
      <w:r w:rsidR="007511DB" w:rsidRPr="000E6920">
        <w:rPr>
          <w:rFonts w:cs="Times New Roman"/>
          <w:sz w:val="24"/>
          <w:szCs w:val="24"/>
        </w:rPr>
        <w:t xml:space="preserve"> than project aid (</w:t>
      </w:r>
      <w:r w:rsidR="007511DB" w:rsidRPr="000E6920">
        <w:rPr>
          <w:rFonts w:cs="Times New Roman"/>
          <w:sz w:val="24"/>
          <w:szCs w:val="24"/>
        </w:rPr>
        <w:fldChar w:fldCharType="begin"/>
      </w:r>
      <w:r w:rsidR="007511DB" w:rsidRPr="000E6920">
        <w:rPr>
          <w:rFonts w:cs="Times New Roman"/>
          <w:sz w:val="24"/>
          <w:szCs w:val="24"/>
        </w:rPr>
        <w:instrText xml:space="preserve"> REF _Ref370816040 \h </w:instrText>
      </w:r>
      <w:r w:rsidR="000E6920">
        <w:rPr>
          <w:rFonts w:cs="Times New Roman"/>
          <w:sz w:val="24"/>
          <w:szCs w:val="24"/>
        </w:rPr>
        <w:instrText xml:space="preserve"> \* MERGEFORMAT </w:instrText>
      </w:r>
      <w:r w:rsidR="007511DB" w:rsidRPr="000E6920">
        <w:rPr>
          <w:rFonts w:cs="Times New Roman"/>
          <w:sz w:val="24"/>
          <w:szCs w:val="24"/>
        </w:rPr>
      </w:r>
      <w:r w:rsidR="007511DB" w:rsidRPr="000E6920">
        <w:rPr>
          <w:rFonts w:cs="Times New Roman"/>
          <w:sz w:val="24"/>
          <w:szCs w:val="24"/>
        </w:rPr>
        <w:fldChar w:fldCharType="separate"/>
      </w:r>
      <w:r w:rsidR="005B207F" w:rsidRPr="005B207F">
        <w:rPr>
          <w:sz w:val="24"/>
          <w:szCs w:val="24"/>
        </w:rPr>
        <w:t xml:space="preserve">Figure </w:t>
      </w:r>
      <w:r w:rsidR="005B207F" w:rsidRPr="005B207F">
        <w:rPr>
          <w:noProof/>
          <w:sz w:val="24"/>
          <w:szCs w:val="24"/>
        </w:rPr>
        <w:t>6</w:t>
      </w:r>
      <w:r w:rsidR="007511DB" w:rsidRPr="000E6920">
        <w:rPr>
          <w:rFonts w:cs="Times New Roman"/>
          <w:sz w:val="24"/>
          <w:szCs w:val="24"/>
        </w:rPr>
        <w:fldChar w:fldCharType="end"/>
      </w:r>
      <w:r w:rsidR="007511DB" w:rsidRPr="000E6920">
        <w:rPr>
          <w:rFonts w:cs="Times New Roman"/>
          <w:sz w:val="24"/>
          <w:szCs w:val="24"/>
        </w:rPr>
        <w:t>).</w:t>
      </w:r>
    </w:p>
    <w:p w:rsidR="009B52AE" w:rsidRDefault="009B52AE" w:rsidP="0007501B">
      <w:pPr>
        <w:spacing w:after="0" w:line="240" w:lineRule="auto"/>
        <w:contextualSpacing/>
        <w:mirrorIndents/>
        <w:jc w:val="both"/>
        <w:rPr>
          <w:rFonts w:cs="Times New Roman"/>
          <w:sz w:val="24"/>
          <w:szCs w:val="24"/>
        </w:rPr>
      </w:pPr>
    </w:p>
    <w:p w:rsidR="009B52AE" w:rsidRPr="004A770B" w:rsidRDefault="009B52AE" w:rsidP="009B52AE">
      <w:pPr>
        <w:pStyle w:val="Caption"/>
        <w:spacing w:after="120"/>
        <w:jc w:val="center"/>
        <w:rPr>
          <w:rFonts w:cs="Times New Roman"/>
          <w:color w:val="auto"/>
          <w:sz w:val="22"/>
          <w:szCs w:val="22"/>
        </w:rPr>
      </w:pPr>
      <w:bookmarkStart w:id="12" w:name="_Ref370816040"/>
      <w:r w:rsidRPr="004A770B">
        <w:rPr>
          <w:color w:val="auto"/>
          <w:sz w:val="22"/>
          <w:szCs w:val="22"/>
        </w:rPr>
        <w:t xml:space="preserve">Figure </w:t>
      </w:r>
      <w:r w:rsidRPr="004A770B">
        <w:rPr>
          <w:color w:val="auto"/>
          <w:sz w:val="22"/>
          <w:szCs w:val="22"/>
        </w:rPr>
        <w:fldChar w:fldCharType="begin"/>
      </w:r>
      <w:r w:rsidRPr="004A770B">
        <w:rPr>
          <w:color w:val="auto"/>
          <w:sz w:val="22"/>
          <w:szCs w:val="22"/>
        </w:rPr>
        <w:instrText xml:space="preserve"> SEQ Figure \* ARABIC </w:instrText>
      </w:r>
      <w:r w:rsidRPr="004A770B">
        <w:rPr>
          <w:color w:val="auto"/>
          <w:sz w:val="22"/>
          <w:szCs w:val="22"/>
        </w:rPr>
        <w:fldChar w:fldCharType="separate"/>
      </w:r>
      <w:r w:rsidR="005B207F">
        <w:rPr>
          <w:noProof/>
          <w:color w:val="auto"/>
          <w:sz w:val="22"/>
          <w:szCs w:val="22"/>
        </w:rPr>
        <w:t>6</w:t>
      </w:r>
      <w:r w:rsidRPr="004A770B">
        <w:rPr>
          <w:color w:val="auto"/>
          <w:sz w:val="22"/>
          <w:szCs w:val="22"/>
        </w:rPr>
        <w:fldChar w:fldCharType="end"/>
      </w:r>
      <w:bookmarkEnd w:id="12"/>
      <w:r w:rsidRPr="004A770B">
        <w:rPr>
          <w:color w:val="auto"/>
          <w:sz w:val="22"/>
          <w:szCs w:val="22"/>
        </w:rPr>
        <w:t>: Aid and non-concession external financing trends (</w:t>
      </w:r>
      <w:proofErr w:type="gramStart"/>
      <w:r w:rsidR="00C36587" w:rsidRPr="004A770B">
        <w:rPr>
          <w:color w:val="auto"/>
          <w:sz w:val="22"/>
          <w:szCs w:val="22"/>
        </w:rPr>
        <w:t>a &amp;</w:t>
      </w:r>
      <w:proofErr w:type="gramEnd"/>
      <w:r w:rsidR="00C36587" w:rsidRPr="004A770B">
        <w:rPr>
          <w:color w:val="auto"/>
          <w:sz w:val="22"/>
          <w:szCs w:val="22"/>
        </w:rPr>
        <w:t xml:space="preserve"> b; </w:t>
      </w:r>
      <w:r w:rsidRPr="004A770B">
        <w:rPr>
          <w:color w:val="auto"/>
          <w:sz w:val="22"/>
          <w:szCs w:val="22"/>
        </w:rPr>
        <w:t>in percent of GDP)</w:t>
      </w:r>
    </w:p>
    <w:p w:rsidR="0007501B" w:rsidRPr="008138F9" w:rsidRDefault="009B52AE" w:rsidP="009B52AE">
      <w:pPr>
        <w:spacing w:after="0" w:line="240" w:lineRule="auto"/>
        <w:contextualSpacing/>
        <w:mirrorIndents/>
        <w:jc w:val="center"/>
        <w:rPr>
          <w:rFonts w:cs="Times New Roman"/>
          <w:sz w:val="24"/>
          <w:szCs w:val="24"/>
        </w:rPr>
      </w:pPr>
      <w:r w:rsidRPr="009B52AE">
        <w:rPr>
          <w:noProof/>
        </w:rPr>
        <w:drawing>
          <wp:inline distT="0" distB="0" distL="0" distR="0" wp14:anchorId="1F077421" wp14:editId="7BFED8AC">
            <wp:extent cx="4682067" cy="1879600"/>
            <wp:effectExtent l="0" t="0" r="444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91794" cy="1883505"/>
                    </a:xfrm>
                    <a:prstGeom prst="rect">
                      <a:avLst/>
                    </a:prstGeom>
                    <a:noFill/>
                    <a:ln>
                      <a:noFill/>
                    </a:ln>
                  </pic:spPr>
                </pic:pic>
              </a:graphicData>
            </a:graphic>
          </wp:inline>
        </w:drawing>
      </w:r>
    </w:p>
    <w:p w:rsidR="001A14E6" w:rsidRDefault="00061A94" w:rsidP="00061A94">
      <w:pPr>
        <w:numPr>
          <w:ilvl w:val="0"/>
          <w:numId w:val="30"/>
        </w:numPr>
        <w:tabs>
          <w:tab w:val="num" w:pos="720"/>
        </w:tabs>
        <w:spacing w:after="0" w:line="240" w:lineRule="auto"/>
        <w:ind w:left="0" w:firstLine="0"/>
        <w:contextualSpacing/>
        <w:mirrorIndents/>
        <w:jc w:val="both"/>
        <w:rPr>
          <w:rFonts w:cs="Times New Roman"/>
          <w:sz w:val="24"/>
          <w:szCs w:val="24"/>
        </w:rPr>
      </w:pPr>
      <w:r w:rsidRPr="000E6920">
        <w:rPr>
          <w:rFonts w:cs="Times New Roman"/>
          <w:b/>
          <w:sz w:val="24"/>
          <w:szCs w:val="24"/>
        </w:rPr>
        <w:lastRenderedPageBreak/>
        <w:t>Non-concessional external borrowing is increasingly replacing foreign aid as the new source of financing the budget</w:t>
      </w:r>
      <w:r w:rsidRPr="000E6920">
        <w:rPr>
          <w:rFonts w:cs="Times New Roman"/>
          <w:sz w:val="24"/>
          <w:szCs w:val="24"/>
        </w:rPr>
        <w:t xml:space="preserve">.  </w:t>
      </w:r>
      <w:r>
        <w:rPr>
          <w:rFonts w:cs="Times New Roman"/>
          <w:sz w:val="24"/>
          <w:szCs w:val="24"/>
        </w:rPr>
        <w:t xml:space="preserve">In 2010/11, </w:t>
      </w:r>
      <w:r w:rsidRPr="000E6920">
        <w:rPr>
          <w:rFonts w:cs="Times New Roman"/>
          <w:sz w:val="24"/>
          <w:szCs w:val="24"/>
        </w:rPr>
        <w:t>non-concessional borrowing was equivalent to about 0.2 percent of GDP</w:t>
      </w:r>
      <w:r>
        <w:rPr>
          <w:rFonts w:cs="Times New Roman"/>
          <w:sz w:val="24"/>
          <w:szCs w:val="24"/>
        </w:rPr>
        <w:t>, while</w:t>
      </w:r>
      <w:r w:rsidRPr="000E6920">
        <w:rPr>
          <w:rFonts w:cs="Times New Roman"/>
          <w:sz w:val="24"/>
          <w:szCs w:val="24"/>
        </w:rPr>
        <w:t xml:space="preserve"> total grants and concessional loans were equivalent to 8 percent of GDP</w:t>
      </w:r>
      <w:r>
        <w:rPr>
          <w:rFonts w:cs="Times New Roman"/>
          <w:sz w:val="24"/>
          <w:szCs w:val="24"/>
        </w:rPr>
        <w:t xml:space="preserve">.  Two years later, </w:t>
      </w:r>
      <w:r w:rsidRPr="000E6920">
        <w:rPr>
          <w:rFonts w:cs="Times New Roman"/>
          <w:sz w:val="24"/>
          <w:szCs w:val="24"/>
        </w:rPr>
        <w:t xml:space="preserve"> in 2012/13, </w:t>
      </w:r>
      <w:r>
        <w:rPr>
          <w:rFonts w:cs="Times New Roman"/>
          <w:sz w:val="24"/>
          <w:szCs w:val="24"/>
        </w:rPr>
        <w:t xml:space="preserve">the level of </w:t>
      </w:r>
      <w:r w:rsidRPr="000E6920">
        <w:rPr>
          <w:rFonts w:cs="Times New Roman"/>
          <w:sz w:val="24"/>
          <w:szCs w:val="24"/>
        </w:rPr>
        <w:t>non-concessional loans increased to 3 percent of GDP and total grants a</w:t>
      </w:r>
      <w:r>
        <w:rPr>
          <w:rFonts w:cs="Times New Roman"/>
          <w:sz w:val="24"/>
          <w:szCs w:val="24"/>
        </w:rPr>
        <w:t xml:space="preserve">s well as </w:t>
      </w:r>
      <w:r w:rsidRPr="000E6920">
        <w:rPr>
          <w:rFonts w:cs="Times New Roman"/>
          <w:sz w:val="24"/>
          <w:szCs w:val="24"/>
        </w:rPr>
        <w:t>concessional loans declined to about 5.</w:t>
      </w:r>
      <w:r>
        <w:rPr>
          <w:rFonts w:cs="Times New Roman"/>
          <w:sz w:val="24"/>
          <w:szCs w:val="24"/>
        </w:rPr>
        <w:t>7</w:t>
      </w:r>
      <w:r w:rsidRPr="000E6920">
        <w:rPr>
          <w:rFonts w:cs="Times New Roman"/>
          <w:sz w:val="24"/>
          <w:szCs w:val="24"/>
        </w:rPr>
        <w:t xml:space="preserve"> percent of GDP. In 2012/13 alone, the Government contracted </w:t>
      </w:r>
      <w:r>
        <w:rPr>
          <w:rFonts w:cs="Times New Roman"/>
          <w:sz w:val="24"/>
          <w:szCs w:val="24"/>
        </w:rPr>
        <w:t>about 3 p</w:t>
      </w:r>
      <w:r w:rsidRPr="000E6920">
        <w:rPr>
          <w:rFonts w:cs="Times New Roman"/>
          <w:sz w:val="24"/>
          <w:szCs w:val="24"/>
        </w:rPr>
        <w:t>ercent of GDP in non-concessional loans with about one half disbursed through the budget</w:t>
      </w:r>
      <w:r>
        <w:rPr>
          <w:rFonts w:cs="Times New Roman"/>
          <w:sz w:val="24"/>
          <w:szCs w:val="24"/>
        </w:rPr>
        <w:t xml:space="preserve"> while other half was disbursed direct to Tanzania Petroleum Development Corporation (TPDC), as on-lending</w:t>
      </w:r>
      <w:r w:rsidRPr="000E6920">
        <w:rPr>
          <w:rFonts w:cs="Times New Roman"/>
          <w:sz w:val="24"/>
          <w:szCs w:val="24"/>
        </w:rPr>
        <w:t>.</w:t>
      </w:r>
      <w:r>
        <w:rPr>
          <w:rFonts w:cs="Times New Roman"/>
          <w:sz w:val="24"/>
          <w:szCs w:val="24"/>
        </w:rPr>
        <w:t xml:space="preserve"> However, some of the contracted loans will be disbursed over several years</w:t>
      </w:r>
      <w:r>
        <w:rPr>
          <w:rFonts w:cs="Times New Roman"/>
          <w:sz w:val="24"/>
          <w:szCs w:val="24"/>
        </w:rPr>
        <w:t>.</w:t>
      </w:r>
    </w:p>
    <w:p w:rsidR="00061A94" w:rsidRPr="001A14E6" w:rsidRDefault="00061A94" w:rsidP="00061A94">
      <w:pPr>
        <w:spacing w:after="0" w:line="240" w:lineRule="auto"/>
        <w:contextualSpacing/>
        <w:mirrorIndents/>
        <w:jc w:val="both"/>
        <w:rPr>
          <w:rFonts w:cs="Times New Roman"/>
          <w:sz w:val="24"/>
          <w:szCs w:val="24"/>
        </w:rPr>
      </w:pPr>
    </w:p>
    <w:p w:rsidR="00D00D04" w:rsidRPr="00097FFD" w:rsidRDefault="00636976" w:rsidP="00D00D04">
      <w:pPr>
        <w:numPr>
          <w:ilvl w:val="0"/>
          <w:numId w:val="30"/>
        </w:numPr>
        <w:tabs>
          <w:tab w:val="num" w:pos="720"/>
        </w:tabs>
        <w:spacing w:after="0" w:line="240" w:lineRule="auto"/>
        <w:ind w:left="0" w:firstLine="0"/>
        <w:contextualSpacing/>
        <w:mirrorIndents/>
        <w:jc w:val="both"/>
        <w:rPr>
          <w:sz w:val="24"/>
          <w:szCs w:val="24"/>
        </w:rPr>
      </w:pPr>
      <w:r w:rsidRPr="000E6920">
        <w:rPr>
          <w:rFonts w:cs="Times New Roman"/>
          <w:b/>
          <w:i/>
          <w:sz w:val="24"/>
          <w:szCs w:val="24"/>
        </w:rPr>
        <w:t xml:space="preserve">Net domestic </w:t>
      </w:r>
      <w:r w:rsidR="00934DB5" w:rsidRPr="000E6920">
        <w:rPr>
          <w:rFonts w:cs="Times New Roman"/>
          <w:b/>
          <w:i/>
          <w:sz w:val="24"/>
          <w:szCs w:val="24"/>
        </w:rPr>
        <w:t>borrowing</w:t>
      </w:r>
      <w:r w:rsidRPr="000E6920">
        <w:rPr>
          <w:rFonts w:cs="Times New Roman"/>
          <w:b/>
          <w:sz w:val="24"/>
          <w:szCs w:val="24"/>
        </w:rPr>
        <w:t xml:space="preserve">: </w:t>
      </w:r>
      <w:r w:rsidR="00934DB5" w:rsidRPr="000E6920">
        <w:rPr>
          <w:rFonts w:cs="Times New Roman"/>
          <w:b/>
          <w:sz w:val="24"/>
          <w:szCs w:val="24"/>
        </w:rPr>
        <w:t xml:space="preserve">Net domestic borrowing </w:t>
      </w:r>
      <w:r w:rsidR="00EC0660">
        <w:rPr>
          <w:rFonts w:cs="Times New Roman"/>
          <w:b/>
          <w:sz w:val="24"/>
          <w:szCs w:val="24"/>
        </w:rPr>
        <w:t xml:space="preserve">exceeded </w:t>
      </w:r>
      <w:r w:rsidR="00934DB5" w:rsidRPr="000E6920">
        <w:rPr>
          <w:rFonts w:cs="Times New Roman"/>
          <w:b/>
          <w:sz w:val="24"/>
          <w:szCs w:val="24"/>
        </w:rPr>
        <w:t xml:space="preserve">the target </w:t>
      </w:r>
      <w:r w:rsidR="00EC0660">
        <w:rPr>
          <w:rFonts w:cs="Times New Roman"/>
          <w:b/>
          <w:sz w:val="24"/>
          <w:szCs w:val="24"/>
        </w:rPr>
        <w:t xml:space="preserve">agreed in the IMF program </w:t>
      </w:r>
      <w:r w:rsidR="00934DB5" w:rsidRPr="000E6920">
        <w:rPr>
          <w:rFonts w:cs="Times New Roman"/>
          <w:b/>
          <w:sz w:val="24"/>
          <w:szCs w:val="24"/>
        </w:rPr>
        <w:t>by 1.</w:t>
      </w:r>
      <w:r w:rsidR="002B65C4" w:rsidRPr="000E6920">
        <w:rPr>
          <w:rFonts w:cs="Times New Roman"/>
          <w:b/>
          <w:sz w:val="24"/>
          <w:szCs w:val="24"/>
        </w:rPr>
        <w:t>3</w:t>
      </w:r>
      <w:r w:rsidR="00934DB5" w:rsidRPr="000E6920">
        <w:rPr>
          <w:rFonts w:cs="Times New Roman"/>
          <w:b/>
          <w:sz w:val="24"/>
          <w:szCs w:val="24"/>
        </w:rPr>
        <w:t xml:space="preserve"> percent of GDP in 2012/13.</w:t>
      </w:r>
      <w:r w:rsidR="00934DB5" w:rsidRPr="000E6920">
        <w:rPr>
          <w:rFonts w:cs="Times New Roman"/>
          <w:sz w:val="24"/>
          <w:szCs w:val="24"/>
        </w:rPr>
        <w:t xml:space="preserve">  The net domestic financing through domest</w:t>
      </w:r>
      <w:r w:rsidR="00D00D04">
        <w:rPr>
          <w:rFonts w:cs="Times New Roman"/>
          <w:sz w:val="24"/>
          <w:szCs w:val="24"/>
        </w:rPr>
        <w:t>ic borrowing amounted to Tsh. 1,087</w:t>
      </w:r>
      <w:r w:rsidR="00934DB5" w:rsidRPr="000E6920">
        <w:rPr>
          <w:rFonts w:cs="Times New Roman"/>
          <w:sz w:val="24"/>
          <w:szCs w:val="24"/>
        </w:rPr>
        <w:t xml:space="preserve"> trillion, equivalent to 2.</w:t>
      </w:r>
      <w:r w:rsidR="002B65C4" w:rsidRPr="000E6920">
        <w:rPr>
          <w:rFonts w:cs="Times New Roman"/>
          <w:sz w:val="24"/>
          <w:szCs w:val="24"/>
        </w:rPr>
        <w:t>3</w:t>
      </w:r>
      <w:r w:rsidR="00934DB5" w:rsidRPr="000E6920">
        <w:rPr>
          <w:rFonts w:cs="Times New Roman"/>
          <w:sz w:val="24"/>
          <w:szCs w:val="24"/>
        </w:rPr>
        <w:t xml:space="preserve"> percent of GDP above the target and IMF ceiling of 1 percent of GDP.  </w:t>
      </w:r>
      <w:r w:rsidR="00AB24D2" w:rsidRPr="000E6920">
        <w:rPr>
          <w:rFonts w:cs="Times New Roman"/>
          <w:sz w:val="24"/>
          <w:szCs w:val="24"/>
        </w:rPr>
        <w:t xml:space="preserve">The </w:t>
      </w:r>
      <w:r w:rsidR="00D00D04">
        <w:rPr>
          <w:rFonts w:cs="Times New Roman"/>
          <w:sz w:val="24"/>
          <w:szCs w:val="24"/>
        </w:rPr>
        <w:t xml:space="preserve">increased domestic borrowing was partly used to compensate </w:t>
      </w:r>
      <w:r w:rsidR="00EC0660">
        <w:rPr>
          <w:rFonts w:cs="Times New Roman"/>
          <w:sz w:val="24"/>
          <w:szCs w:val="24"/>
        </w:rPr>
        <w:t xml:space="preserve">for </w:t>
      </w:r>
      <w:r w:rsidR="00DD6F92" w:rsidRPr="000E6920">
        <w:rPr>
          <w:rFonts w:cs="Times New Roman"/>
          <w:sz w:val="24"/>
          <w:szCs w:val="24"/>
        </w:rPr>
        <w:t>shortfalls in disbursement of non-concessional borrowing and domestic revenue collections</w:t>
      </w:r>
      <w:r w:rsidR="00097FFD">
        <w:rPr>
          <w:rFonts w:cs="Times New Roman"/>
          <w:sz w:val="24"/>
          <w:szCs w:val="24"/>
        </w:rPr>
        <w:t>.</w:t>
      </w:r>
    </w:p>
    <w:p w:rsidR="00097FFD" w:rsidRPr="00097FFD" w:rsidRDefault="00097FFD" w:rsidP="00097FFD">
      <w:pPr>
        <w:spacing w:after="0" w:line="240" w:lineRule="auto"/>
        <w:contextualSpacing/>
        <w:mirrorIndents/>
        <w:jc w:val="both"/>
        <w:rPr>
          <w:sz w:val="24"/>
          <w:szCs w:val="24"/>
        </w:rPr>
      </w:pPr>
    </w:p>
    <w:p w:rsidR="00097FFD" w:rsidRPr="00097FFD" w:rsidRDefault="00097FFD" w:rsidP="00D00D04">
      <w:pPr>
        <w:numPr>
          <w:ilvl w:val="0"/>
          <w:numId w:val="30"/>
        </w:numPr>
        <w:tabs>
          <w:tab w:val="num" w:pos="720"/>
        </w:tabs>
        <w:spacing w:after="0" w:line="240" w:lineRule="auto"/>
        <w:ind w:left="0" w:firstLine="0"/>
        <w:contextualSpacing/>
        <w:mirrorIndents/>
        <w:jc w:val="both"/>
        <w:rPr>
          <w:sz w:val="24"/>
          <w:szCs w:val="24"/>
        </w:rPr>
      </w:pPr>
      <w:r>
        <w:rPr>
          <w:b/>
          <w:sz w:val="24"/>
          <w:szCs w:val="24"/>
        </w:rPr>
        <w:t xml:space="preserve">Debt service has consistent increased with the increased non concessional borrowing reducing the fiscal space. </w:t>
      </w:r>
      <w:r w:rsidRPr="00097FFD">
        <w:rPr>
          <w:sz w:val="24"/>
          <w:szCs w:val="24"/>
        </w:rPr>
        <w:t xml:space="preserve">Debt service </w:t>
      </w:r>
      <w:r>
        <w:rPr>
          <w:sz w:val="24"/>
          <w:szCs w:val="24"/>
        </w:rPr>
        <w:t>(</w:t>
      </w:r>
      <w:r w:rsidRPr="00097FFD">
        <w:rPr>
          <w:sz w:val="24"/>
          <w:szCs w:val="24"/>
        </w:rPr>
        <w:t xml:space="preserve">excluding </w:t>
      </w:r>
      <w:r w:rsidR="006E2175">
        <w:rPr>
          <w:sz w:val="24"/>
          <w:szCs w:val="24"/>
        </w:rPr>
        <w:t>amortization of domestic debt</w:t>
      </w:r>
      <w:r>
        <w:rPr>
          <w:sz w:val="24"/>
          <w:szCs w:val="24"/>
        </w:rPr>
        <w:t>) increased to 1.8 percent of GDP</w:t>
      </w:r>
      <w:r w:rsidR="006E2175">
        <w:rPr>
          <w:sz w:val="24"/>
          <w:szCs w:val="24"/>
        </w:rPr>
        <w:t>, (</w:t>
      </w:r>
      <w:r>
        <w:rPr>
          <w:sz w:val="24"/>
          <w:szCs w:val="24"/>
        </w:rPr>
        <w:t xml:space="preserve">equivalent to </w:t>
      </w:r>
      <w:r w:rsidR="006E2175">
        <w:rPr>
          <w:sz w:val="24"/>
          <w:szCs w:val="24"/>
        </w:rPr>
        <w:t xml:space="preserve">6.5 </w:t>
      </w:r>
      <w:r w:rsidR="005C6263">
        <w:rPr>
          <w:sz w:val="24"/>
          <w:szCs w:val="24"/>
        </w:rPr>
        <w:t xml:space="preserve">percent </w:t>
      </w:r>
      <w:r w:rsidR="006E2175">
        <w:rPr>
          <w:sz w:val="24"/>
          <w:szCs w:val="24"/>
        </w:rPr>
        <w:t>of total public spending) in 2012/13 from just 1 percent of GDP (equivalent to 3.6 percent of total public spending) in 2009/10. As the share of debt service in the total public spending continue</w:t>
      </w:r>
      <w:r w:rsidR="005C6263">
        <w:rPr>
          <w:sz w:val="24"/>
          <w:szCs w:val="24"/>
        </w:rPr>
        <w:t>s</w:t>
      </w:r>
      <w:r w:rsidR="006E2175">
        <w:rPr>
          <w:sz w:val="24"/>
          <w:szCs w:val="24"/>
        </w:rPr>
        <w:t xml:space="preserve"> to increase the available fiscal space is reduced hence limit</w:t>
      </w:r>
      <w:r w:rsidR="005C6263">
        <w:rPr>
          <w:sz w:val="24"/>
          <w:szCs w:val="24"/>
        </w:rPr>
        <w:t>ing the resources</w:t>
      </w:r>
      <w:r w:rsidR="006E2175">
        <w:rPr>
          <w:sz w:val="24"/>
          <w:szCs w:val="24"/>
        </w:rPr>
        <w:t xml:space="preserve"> for infrastructure and social services provision.</w:t>
      </w:r>
    </w:p>
    <w:p w:rsidR="002B65C4" w:rsidRPr="00097FFD" w:rsidRDefault="002B65C4" w:rsidP="000E6920">
      <w:pPr>
        <w:spacing w:after="0" w:line="240" w:lineRule="auto"/>
        <w:contextualSpacing/>
        <w:mirrorIndents/>
        <w:jc w:val="both"/>
        <w:rPr>
          <w:sz w:val="24"/>
          <w:szCs w:val="24"/>
        </w:rPr>
      </w:pPr>
    </w:p>
    <w:p w:rsidR="00636976" w:rsidRPr="000E6920" w:rsidRDefault="00636976" w:rsidP="000E6920">
      <w:pPr>
        <w:tabs>
          <w:tab w:val="num" w:pos="0"/>
        </w:tabs>
        <w:spacing w:after="0" w:line="240" w:lineRule="auto"/>
        <w:contextualSpacing/>
        <w:mirrorIndents/>
        <w:jc w:val="both"/>
        <w:rPr>
          <w:rFonts w:cs="Times New Roman"/>
          <w:b/>
          <w:i/>
          <w:sz w:val="24"/>
          <w:szCs w:val="24"/>
        </w:rPr>
      </w:pPr>
      <w:r w:rsidRPr="000E6920">
        <w:rPr>
          <w:rFonts w:cs="Times New Roman"/>
          <w:b/>
          <w:i/>
          <w:sz w:val="24"/>
          <w:szCs w:val="24"/>
        </w:rPr>
        <w:t>Fiscal Outlook</w:t>
      </w:r>
    </w:p>
    <w:p w:rsidR="00636976" w:rsidRPr="000E6920" w:rsidRDefault="00636976" w:rsidP="000E6920">
      <w:pPr>
        <w:tabs>
          <w:tab w:val="num" w:pos="0"/>
        </w:tabs>
        <w:spacing w:after="0" w:line="240" w:lineRule="auto"/>
        <w:contextualSpacing/>
        <w:mirrorIndents/>
        <w:jc w:val="both"/>
        <w:rPr>
          <w:sz w:val="24"/>
          <w:szCs w:val="24"/>
        </w:rPr>
      </w:pPr>
    </w:p>
    <w:p w:rsidR="002B65C4" w:rsidRPr="000A248D" w:rsidRDefault="00636976" w:rsidP="000E6920">
      <w:pPr>
        <w:numPr>
          <w:ilvl w:val="0"/>
          <w:numId w:val="30"/>
        </w:numPr>
        <w:tabs>
          <w:tab w:val="num" w:pos="720"/>
        </w:tabs>
        <w:spacing w:after="0" w:line="240" w:lineRule="auto"/>
        <w:ind w:left="0" w:firstLine="0"/>
        <w:contextualSpacing/>
        <w:mirrorIndents/>
        <w:jc w:val="both"/>
        <w:rPr>
          <w:bCs/>
          <w:sz w:val="24"/>
          <w:szCs w:val="24"/>
        </w:rPr>
      </w:pPr>
      <w:r w:rsidRPr="000A248D">
        <w:rPr>
          <w:b/>
          <w:bCs/>
          <w:i/>
          <w:sz w:val="24"/>
          <w:szCs w:val="24"/>
        </w:rPr>
        <w:t>Fiscal deficit</w:t>
      </w:r>
      <w:r w:rsidRPr="000A248D">
        <w:rPr>
          <w:b/>
          <w:bCs/>
          <w:sz w:val="24"/>
          <w:szCs w:val="24"/>
        </w:rPr>
        <w:t xml:space="preserve">: </w:t>
      </w:r>
      <w:bookmarkEnd w:id="5"/>
      <w:r w:rsidR="00E66EC3" w:rsidRPr="000A248D">
        <w:rPr>
          <w:rFonts w:cs="Calibri"/>
          <w:b/>
          <w:sz w:val="24"/>
          <w:szCs w:val="24"/>
        </w:rPr>
        <w:t xml:space="preserve">The </w:t>
      </w:r>
      <w:r w:rsidR="003C7CB5" w:rsidRPr="000A248D">
        <w:rPr>
          <w:rFonts w:cs="Calibri"/>
          <w:b/>
          <w:sz w:val="24"/>
          <w:szCs w:val="24"/>
        </w:rPr>
        <w:t>2013/14</w:t>
      </w:r>
      <w:r w:rsidR="00E66EC3" w:rsidRPr="000A248D">
        <w:rPr>
          <w:rFonts w:cs="Calibri"/>
          <w:b/>
          <w:sz w:val="24"/>
          <w:szCs w:val="24"/>
        </w:rPr>
        <w:t xml:space="preserve"> budget anticipates bringing fiscal deficit down to 5.</w:t>
      </w:r>
      <w:r w:rsidR="00574F7F" w:rsidRPr="000A248D">
        <w:rPr>
          <w:rFonts w:cs="Calibri"/>
          <w:b/>
          <w:sz w:val="24"/>
          <w:szCs w:val="24"/>
        </w:rPr>
        <w:t>0</w:t>
      </w:r>
      <w:r w:rsidR="00E66EC3" w:rsidRPr="000A248D">
        <w:rPr>
          <w:rFonts w:cs="Calibri"/>
          <w:b/>
          <w:sz w:val="24"/>
          <w:szCs w:val="24"/>
        </w:rPr>
        <w:t xml:space="preserve"> percent of GDP. </w:t>
      </w:r>
      <w:r w:rsidR="00782CDE">
        <w:rPr>
          <w:rFonts w:cs="Calibri"/>
          <w:sz w:val="24"/>
          <w:szCs w:val="24"/>
        </w:rPr>
        <w:t xml:space="preserve">To achieve this </w:t>
      </w:r>
      <w:r w:rsidR="00E66EC3" w:rsidRPr="000A248D">
        <w:rPr>
          <w:rFonts w:cs="Calibri"/>
          <w:sz w:val="24"/>
          <w:szCs w:val="24"/>
        </w:rPr>
        <w:t xml:space="preserve">fiscal deficit target </w:t>
      </w:r>
      <w:r w:rsidR="00782CDE">
        <w:rPr>
          <w:rFonts w:cs="Calibri"/>
          <w:sz w:val="24"/>
          <w:szCs w:val="24"/>
        </w:rPr>
        <w:t xml:space="preserve">it </w:t>
      </w:r>
      <w:r w:rsidR="00E66EC3" w:rsidRPr="000A248D">
        <w:rPr>
          <w:rFonts w:cs="Calibri"/>
          <w:sz w:val="24"/>
          <w:szCs w:val="24"/>
        </w:rPr>
        <w:t xml:space="preserve">will require significant strides in increasing revenue collections and containing expenditures while ensuring </w:t>
      </w:r>
      <w:r w:rsidR="00A94EDF">
        <w:rPr>
          <w:rFonts w:cs="Calibri"/>
          <w:sz w:val="24"/>
          <w:szCs w:val="24"/>
        </w:rPr>
        <w:t xml:space="preserve">that </w:t>
      </w:r>
      <w:r w:rsidR="00E66EC3" w:rsidRPr="000A248D">
        <w:rPr>
          <w:rFonts w:cs="Calibri"/>
          <w:sz w:val="24"/>
          <w:szCs w:val="24"/>
        </w:rPr>
        <w:t xml:space="preserve">the priority </w:t>
      </w:r>
      <w:r w:rsidR="00F43DB4" w:rsidRPr="000A248D">
        <w:rPr>
          <w:rFonts w:cs="Calibri"/>
          <w:sz w:val="24"/>
          <w:szCs w:val="24"/>
        </w:rPr>
        <w:t xml:space="preserve">activities and programs in infrastructure and social services are fully funded. </w:t>
      </w:r>
      <w:r w:rsidR="00574F7F" w:rsidRPr="000A248D">
        <w:rPr>
          <w:rFonts w:cs="Calibri"/>
          <w:sz w:val="24"/>
          <w:szCs w:val="24"/>
        </w:rPr>
        <w:t xml:space="preserve">On </w:t>
      </w:r>
      <w:r w:rsidR="007A0A97" w:rsidRPr="000A248D">
        <w:rPr>
          <w:rFonts w:cs="Calibri"/>
          <w:sz w:val="24"/>
          <w:szCs w:val="24"/>
        </w:rPr>
        <w:t>the revenue</w:t>
      </w:r>
      <w:r w:rsidR="003C7CB5" w:rsidRPr="000A248D">
        <w:rPr>
          <w:rFonts w:cs="Calibri"/>
          <w:sz w:val="24"/>
          <w:szCs w:val="24"/>
        </w:rPr>
        <w:t xml:space="preserve"> side</w:t>
      </w:r>
      <w:r w:rsidR="000A248D">
        <w:rPr>
          <w:rFonts w:cs="Calibri"/>
          <w:sz w:val="24"/>
          <w:szCs w:val="24"/>
        </w:rPr>
        <w:t>, low tax collection during</w:t>
      </w:r>
      <w:r w:rsidR="00574F7F" w:rsidRPr="000A248D">
        <w:rPr>
          <w:rFonts w:cs="Calibri"/>
          <w:sz w:val="24"/>
          <w:szCs w:val="24"/>
        </w:rPr>
        <w:t xml:space="preserve"> the first quarter of 2013/14 </w:t>
      </w:r>
      <w:r w:rsidR="000A248D">
        <w:rPr>
          <w:rFonts w:cs="Calibri"/>
          <w:sz w:val="24"/>
          <w:szCs w:val="24"/>
        </w:rPr>
        <w:t>(about 10 percent lower than targeted) will require a significant turnaround in the remainder of the fiscal year.</w:t>
      </w:r>
      <w:r w:rsidR="00E82B29" w:rsidRPr="000A248D">
        <w:rPr>
          <w:rFonts w:cs="Times New Roman"/>
          <w:b/>
          <w:i/>
          <w:sz w:val="24"/>
          <w:szCs w:val="24"/>
        </w:rPr>
        <w:t xml:space="preserve"> </w:t>
      </w:r>
      <w:r w:rsidR="00E33C87" w:rsidRPr="000A248D">
        <w:rPr>
          <w:b/>
          <w:bCs/>
          <w:sz w:val="24"/>
          <w:szCs w:val="24"/>
        </w:rPr>
        <w:t xml:space="preserve"> </w:t>
      </w:r>
      <w:r w:rsidR="00E33C87" w:rsidRPr="000A248D">
        <w:rPr>
          <w:bCs/>
          <w:sz w:val="24"/>
          <w:szCs w:val="24"/>
        </w:rPr>
        <w:t>The</w:t>
      </w:r>
      <w:r w:rsidR="00CF0300" w:rsidRPr="000A248D">
        <w:rPr>
          <w:bCs/>
          <w:sz w:val="24"/>
          <w:szCs w:val="24"/>
        </w:rPr>
        <w:t xml:space="preserve"> </w:t>
      </w:r>
      <w:r w:rsidR="00574F7F" w:rsidRPr="000A248D">
        <w:rPr>
          <w:bCs/>
          <w:sz w:val="24"/>
          <w:szCs w:val="24"/>
        </w:rPr>
        <w:t xml:space="preserve">level of </w:t>
      </w:r>
      <w:r w:rsidR="00CF0300" w:rsidRPr="000A248D">
        <w:rPr>
          <w:bCs/>
          <w:sz w:val="24"/>
          <w:szCs w:val="24"/>
        </w:rPr>
        <w:t xml:space="preserve">total expenditure is projected to </w:t>
      </w:r>
      <w:r w:rsidR="00574F7F" w:rsidRPr="000A248D">
        <w:rPr>
          <w:bCs/>
          <w:sz w:val="24"/>
          <w:szCs w:val="24"/>
        </w:rPr>
        <w:t xml:space="preserve">reach over </w:t>
      </w:r>
      <w:r w:rsidR="00404B0D" w:rsidRPr="000A248D">
        <w:rPr>
          <w:bCs/>
          <w:sz w:val="24"/>
          <w:szCs w:val="24"/>
        </w:rPr>
        <w:t>30</w:t>
      </w:r>
      <w:r w:rsidR="00CF0300" w:rsidRPr="000A248D">
        <w:rPr>
          <w:bCs/>
          <w:sz w:val="24"/>
          <w:szCs w:val="24"/>
        </w:rPr>
        <w:t xml:space="preserve"> percent of GDP in 2013/14</w:t>
      </w:r>
      <w:r w:rsidR="00574F7F" w:rsidRPr="000A248D">
        <w:rPr>
          <w:bCs/>
          <w:sz w:val="24"/>
          <w:szCs w:val="24"/>
        </w:rPr>
        <w:t xml:space="preserve"> -its highest level in recent history</w:t>
      </w:r>
      <w:r w:rsidR="00CF0300" w:rsidRPr="007A0A97">
        <w:rPr>
          <w:bCs/>
          <w:sz w:val="24"/>
          <w:szCs w:val="24"/>
        </w:rPr>
        <w:t>.</w:t>
      </w:r>
      <w:r w:rsidR="00404B0D" w:rsidRPr="007A0A97">
        <w:rPr>
          <w:bCs/>
          <w:sz w:val="24"/>
          <w:szCs w:val="24"/>
        </w:rPr>
        <w:t xml:space="preserve"> </w:t>
      </w:r>
      <w:r w:rsidR="00574F7F" w:rsidRPr="007A0A97">
        <w:rPr>
          <w:bCs/>
          <w:sz w:val="24"/>
          <w:szCs w:val="24"/>
        </w:rPr>
        <w:t xml:space="preserve"> This increase followed the Government’s willingness, as illustrated by the recent BRN </w:t>
      </w:r>
      <w:r w:rsidR="00574F7F" w:rsidRPr="000A248D">
        <w:rPr>
          <w:bCs/>
          <w:sz w:val="24"/>
          <w:szCs w:val="24"/>
        </w:rPr>
        <w:t>initiative</w:t>
      </w:r>
      <w:r w:rsidR="00574F7F" w:rsidRPr="007A0A97">
        <w:rPr>
          <w:bCs/>
          <w:sz w:val="24"/>
          <w:szCs w:val="24"/>
        </w:rPr>
        <w:t xml:space="preserve">, to </w:t>
      </w:r>
      <w:r w:rsidR="00574F7F" w:rsidRPr="000A248D">
        <w:rPr>
          <w:bCs/>
          <w:sz w:val="24"/>
          <w:szCs w:val="24"/>
        </w:rPr>
        <w:t>finance key development projects in six priority sectors. It also reflect</w:t>
      </w:r>
      <w:r w:rsidR="00D4660D">
        <w:rPr>
          <w:bCs/>
          <w:sz w:val="24"/>
          <w:szCs w:val="24"/>
        </w:rPr>
        <w:t>s</w:t>
      </w:r>
      <w:r w:rsidR="00574F7F" w:rsidRPr="000A248D">
        <w:rPr>
          <w:bCs/>
          <w:sz w:val="24"/>
          <w:szCs w:val="24"/>
        </w:rPr>
        <w:t xml:space="preserve"> a relatively sharp projected increase in recurrent spending, especially in </w:t>
      </w:r>
      <w:r w:rsidR="00172D5E">
        <w:rPr>
          <w:bCs/>
          <w:sz w:val="24"/>
          <w:szCs w:val="24"/>
        </w:rPr>
        <w:t xml:space="preserve">the </w:t>
      </w:r>
      <w:r w:rsidR="00074EDB">
        <w:rPr>
          <w:bCs/>
          <w:sz w:val="24"/>
          <w:szCs w:val="24"/>
        </w:rPr>
        <w:t xml:space="preserve">public </w:t>
      </w:r>
      <w:r w:rsidR="00172D5E">
        <w:rPr>
          <w:bCs/>
          <w:sz w:val="24"/>
          <w:szCs w:val="24"/>
        </w:rPr>
        <w:t>wage bill.</w:t>
      </w:r>
    </w:p>
    <w:p w:rsidR="00CF0300" w:rsidRPr="000E6920" w:rsidRDefault="00CF0300" w:rsidP="000E6920">
      <w:pPr>
        <w:spacing w:after="0" w:line="240" w:lineRule="auto"/>
        <w:contextualSpacing/>
        <w:mirrorIndents/>
        <w:jc w:val="both"/>
        <w:rPr>
          <w:bCs/>
          <w:sz w:val="24"/>
          <w:szCs w:val="24"/>
        </w:rPr>
      </w:pPr>
    </w:p>
    <w:p w:rsidR="0066580C" w:rsidRPr="000E6920" w:rsidRDefault="00241A9A" w:rsidP="000E6920">
      <w:pPr>
        <w:numPr>
          <w:ilvl w:val="0"/>
          <w:numId w:val="30"/>
        </w:numPr>
        <w:tabs>
          <w:tab w:val="num" w:pos="720"/>
        </w:tabs>
        <w:spacing w:after="0" w:line="240" w:lineRule="auto"/>
        <w:ind w:left="0" w:firstLine="0"/>
        <w:contextualSpacing/>
        <w:mirrorIndents/>
        <w:jc w:val="both"/>
        <w:rPr>
          <w:rFonts w:cs="Calibri"/>
          <w:b/>
          <w:bCs/>
          <w:sz w:val="24"/>
          <w:szCs w:val="24"/>
        </w:rPr>
      </w:pPr>
      <w:r w:rsidRPr="000E6920">
        <w:rPr>
          <w:rFonts w:cs="Calibri"/>
          <w:b/>
          <w:bCs/>
          <w:sz w:val="24"/>
          <w:szCs w:val="24"/>
        </w:rPr>
        <w:t xml:space="preserve">Recurrent </w:t>
      </w:r>
      <w:r w:rsidR="00DF3002" w:rsidRPr="000E6920">
        <w:rPr>
          <w:rFonts w:cs="Calibri"/>
          <w:b/>
          <w:bCs/>
          <w:sz w:val="24"/>
          <w:szCs w:val="24"/>
        </w:rPr>
        <w:t xml:space="preserve">spending is </w:t>
      </w:r>
      <w:r w:rsidRPr="000E6920">
        <w:rPr>
          <w:rFonts w:cs="Calibri"/>
          <w:b/>
          <w:bCs/>
          <w:sz w:val="24"/>
          <w:szCs w:val="24"/>
        </w:rPr>
        <w:t xml:space="preserve">projected </w:t>
      </w:r>
      <w:r w:rsidR="00E33C87" w:rsidRPr="000E6920">
        <w:rPr>
          <w:rFonts w:cs="Calibri"/>
          <w:b/>
          <w:bCs/>
          <w:sz w:val="24"/>
          <w:szCs w:val="24"/>
        </w:rPr>
        <w:t xml:space="preserve">to </w:t>
      </w:r>
      <w:r w:rsidRPr="000E6920">
        <w:rPr>
          <w:rFonts w:cs="Calibri"/>
          <w:b/>
          <w:bCs/>
          <w:sz w:val="24"/>
          <w:szCs w:val="24"/>
        </w:rPr>
        <w:t>increase significantly in 2013/14 reaching 20.7 percent of GDP</w:t>
      </w:r>
      <w:r w:rsidR="00DF3002" w:rsidRPr="000E6920">
        <w:rPr>
          <w:rFonts w:cs="Calibri"/>
          <w:b/>
          <w:bCs/>
          <w:sz w:val="24"/>
          <w:szCs w:val="24"/>
        </w:rPr>
        <w:t xml:space="preserve">, driven </w:t>
      </w:r>
      <w:r w:rsidR="00B567A9" w:rsidRPr="000E6920">
        <w:rPr>
          <w:rFonts w:cs="Calibri"/>
          <w:b/>
          <w:bCs/>
          <w:sz w:val="24"/>
          <w:szCs w:val="24"/>
        </w:rPr>
        <w:t>largely</w:t>
      </w:r>
      <w:r w:rsidR="00520274" w:rsidRPr="000E6920">
        <w:rPr>
          <w:rFonts w:cs="Calibri"/>
          <w:b/>
          <w:bCs/>
          <w:sz w:val="24"/>
          <w:szCs w:val="24"/>
        </w:rPr>
        <w:t xml:space="preserve"> </w:t>
      </w:r>
      <w:r w:rsidR="00DF3002" w:rsidRPr="000E6920">
        <w:rPr>
          <w:rFonts w:cs="Calibri"/>
          <w:b/>
          <w:bCs/>
          <w:sz w:val="24"/>
          <w:szCs w:val="24"/>
        </w:rPr>
        <w:t xml:space="preserve">by </w:t>
      </w:r>
      <w:r w:rsidR="00E33C87" w:rsidRPr="000E6920">
        <w:rPr>
          <w:rFonts w:cs="Calibri"/>
          <w:b/>
          <w:bCs/>
          <w:sz w:val="24"/>
          <w:szCs w:val="24"/>
        </w:rPr>
        <w:t xml:space="preserve">an </w:t>
      </w:r>
      <w:r w:rsidR="00DF3002" w:rsidRPr="000E6920">
        <w:rPr>
          <w:rFonts w:cs="Calibri"/>
          <w:b/>
          <w:bCs/>
          <w:sz w:val="24"/>
          <w:szCs w:val="24"/>
        </w:rPr>
        <w:t xml:space="preserve">increase in </w:t>
      </w:r>
      <w:r w:rsidR="00E33C87" w:rsidRPr="000E6920">
        <w:rPr>
          <w:rFonts w:cs="Calibri"/>
          <w:b/>
          <w:bCs/>
          <w:sz w:val="24"/>
          <w:szCs w:val="24"/>
        </w:rPr>
        <w:t xml:space="preserve">the </w:t>
      </w:r>
      <w:r w:rsidR="00DF3002" w:rsidRPr="000E6920">
        <w:rPr>
          <w:rFonts w:cs="Calibri"/>
          <w:b/>
          <w:bCs/>
          <w:sz w:val="24"/>
          <w:szCs w:val="24"/>
        </w:rPr>
        <w:t>wage bil</w:t>
      </w:r>
      <w:r w:rsidR="00520274" w:rsidRPr="000E6920">
        <w:rPr>
          <w:rFonts w:cs="Calibri"/>
          <w:b/>
          <w:bCs/>
          <w:sz w:val="24"/>
          <w:szCs w:val="24"/>
        </w:rPr>
        <w:t>l</w:t>
      </w:r>
      <w:r w:rsidR="00DF3002" w:rsidRPr="000E6920">
        <w:rPr>
          <w:rFonts w:cs="Calibri"/>
          <w:b/>
          <w:bCs/>
          <w:sz w:val="24"/>
          <w:szCs w:val="24"/>
        </w:rPr>
        <w:t>.</w:t>
      </w:r>
      <w:r w:rsidRPr="000E6920">
        <w:rPr>
          <w:rFonts w:cs="Calibri"/>
          <w:b/>
          <w:bCs/>
          <w:sz w:val="24"/>
          <w:szCs w:val="24"/>
        </w:rPr>
        <w:t xml:space="preserve"> </w:t>
      </w:r>
      <w:r w:rsidR="00B567A9" w:rsidRPr="000E6920">
        <w:rPr>
          <w:rFonts w:cs="Calibri"/>
          <w:bCs/>
          <w:sz w:val="24"/>
          <w:szCs w:val="24"/>
        </w:rPr>
        <w:t xml:space="preserve">The increased wage bill is the result of the Government decision to raise the minimum wage </w:t>
      </w:r>
      <w:r w:rsidR="002B65C4" w:rsidRPr="000E6920">
        <w:rPr>
          <w:rFonts w:cs="Calibri"/>
          <w:bCs/>
          <w:sz w:val="24"/>
          <w:szCs w:val="24"/>
        </w:rPr>
        <w:t xml:space="preserve">of civil </w:t>
      </w:r>
      <w:r w:rsidR="00B567A9" w:rsidRPr="000E6920">
        <w:rPr>
          <w:rFonts w:cs="Calibri"/>
          <w:bCs/>
          <w:sz w:val="24"/>
          <w:szCs w:val="24"/>
        </w:rPr>
        <w:t xml:space="preserve">servants together with anticipated new hires, including in </w:t>
      </w:r>
      <w:r w:rsidR="00E33C87" w:rsidRPr="000E6920">
        <w:rPr>
          <w:rFonts w:cs="Calibri"/>
          <w:bCs/>
          <w:sz w:val="24"/>
          <w:szCs w:val="24"/>
        </w:rPr>
        <w:t xml:space="preserve">the </w:t>
      </w:r>
      <w:r w:rsidR="00B567A9" w:rsidRPr="000E6920">
        <w:rPr>
          <w:rFonts w:cs="Calibri"/>
          <w:bCs/>
          <w:sz w:val="24"/>
          <w:szCs w:val="24"/>
        </w:rPr>
        <w:t xml:space="preserve">education and health sectors.  In addition to </w:t>
      </w:r>
      <w:r w:rsidR="00E33C87" w:rsidRPr="000E6920">
        <w:rPr>
          <w:rFonts w:cs="Calibri"/>
          <w:bCs/>
          <w:sz w:val="24"/>
          <w:szCs w:val="24"/>
        </w:rPr>
        <w:t xml:space="preserve">the </w:t>
      </w:r>
      <w:r w:rsidR="00B567A9" w:rsidRPr="000E6920">
        <w:rPr>
          <w:rFonts w:cs="Calibri"/>
          <w:bCs/>
          <w:sz w:val="24"/>
          <w:szCs w:val="24"/>
        </w:rPr>
        <w:t xml:space="preserve">wage bill, </w:t>
      </w:r>
      <w:r w:rsidR="000423E8" w:rsidRPr="000E6920">
        <w:rPr>
          <w:rFonts w:cs="Calibri"/>
          <w:bCs/>
          <w:sz w:val="24"/>
          <w:szCs w:val="24"/>
        </w:rPr>
        <w:t>non-salary</w:t>
      </w:r>
      <w:r w:rsidR="00A7268F" w:rsidRPr="000E6920">
        <w:rPr>
          <w:rFonts w:cs="Calibri"/>
          <w:bCs/>
          <w:sz w:val="24"/>
          <w:szCs w:val="24"/>
        </w:rPr>
        <w:t xml:space="preserve"> recurrent spending is allocated for </w:t>
      </w:r>
      <w:r w:rsidRPr="000E6920">
        <w:rPr>
          <w:rFonts w:cs="Calibri"/>
          <w:bCs/>
          <w:sz w:val="24"/>
          <w:szCs w:val="24"/>
        </w:rPr>
        <w:t>finaliz</w:t>
      </w:r>
      <w:r w:rsidR="00A7268F" w:rsidRPr="000E6920">
        <w:rPr>
          <w:rFonts w:cs="Calibri"/>
          <w:bCs/>
          <w:sz w:val="24"/>
          <w:szCs w:val="24"/>
        </w:rPr>
        <w:t>ing the Constitutional review process,</w:t>
      </w:r>
      <w:r w:rsidR="00E33C87" w:rsidRPr="000E6920">
        <w:rPr>
          <w:rFonts w:cs="Calibri"/>
          <w:bCs/>
          <w:sz w:val="24"/>
          <w:szCs w:val="24"/>
        </w:rPr>
        <w:t xml:space="preserve"> to</w:t>
      </w:r>
      <w:r w:rsidR="00A7268F" w:rsidRPr="000E6920">
        <w:rPr>
          <w:rFonts w:cs="Calibri"/>
          <w:bCs/>
          <w:sz w:val="24"/>
          <w:szCs w:val="24"/>
        </w:rPr>
        <w:t xml:space="preserve"> </w:t>
      </w:r>
      <w:r w:rsidRPr="000E6920">
        <w:rPr>
          <w:rFonts w:cs="Calibri"/>
          <w:bCs/>
          <w:sz w:val="24"/>
          <w:szCs w:val="24"/>
        </w:rPr>
        <w:t>issue citizen identity cards</w:t>
      </w:r>
      <w:r w:rsidR="00A7268F" w:rsidRPr="000E6920">
        <w:rPr>
          <w:rFonts w:cs="Calibri"/>
          <w:bCs/>
          <w:sz w:val="24"/>
          <w:szCs w:val="24"/>
        </w:rPr>
        <w:t xml:space="preserve">, </w:t>
      </w:r>
      <w:r w:rsidR="0070338C" w:rsidRPr="000E6920">
        <w:rPr>
          <w:rFonts w:cs="Calibri"/>
          <w:bCs/>
          <w:sz w:val="24"/>
          <w:szCs w:val="24"/>
        </w:rPr>
        <w:t>analyze</w:t>
      </w:r>
      <w:r w:rsidRPr="000E6920">
        <w:rPr>
          <w:rFonts w:cs="Calibri"/>
          <w:bCs/>
          <w:sz w:val="24"/>
          <w:szCs w:val="24"/>
        </w:rPr>
        <w:t xml:space="preserve"> population and housing census data</w:t>
      </w:r>
      <w:r w:rsidR="00A7268F" w:rsidRPr="000E6920">
        <w:rPr>
          <w:rFonts w:cs="Calibri"/>
          <w:bCs/>
          <w:sz w:val="24"/>
          <w:szCs w:val="24"/>
        </w:rPr>
        <w:t xml:space="preserve">, and </w:t>
      </w:r>
      <w:r w:rsidR="00E33C87" w:rsidRPr="000E6920">
        <w:rPr>
          <w:rFonts w:cs="Calibri"/>
          <w:bCs/>
          <w:sz w:val="24"/>
          <w:szCs w:val="24"/>
        </w:rPr>
        <w:t xml:space="preserve">to </w:t>
      </w:r>
      <w:r w:rsidRPr="000E6920">
        <w:rPr>
          <w:rFonts w:cs="Calibri"/>
          <w:bCs/>
          <w:sz w:val="24"/>
          <w:szCs w:val="24"/>
        </w:rPr>
        <w:t>prepar</w:t>
      </w:r>
      <w:r w:rsidR="00E33C87" w:rsidRPr="000E6920">
        <w:rPr>
          <w:rFonts w:cs="Calibri"/>
          <w:bCs/>
          <w:sz w:val="24"/>
          <w:szCs w:val="24"/>
        </w:rPr>
        <w:t>e</w:t>
      </w:r>
      <w:r w:rsidRPr="000E6920">
        <w:rPr>
          <w:rFonts w:cs="Calibri"/>
          <w:bCs/>
          <w:sz w:val="24"/>
          <w:szCs w:val="24"/>
        </w:rPr>
        <w:t xml:space="preserve"> for 2015 General Elections</w:t>
      </w:r>
      <w:r w:rsidR="00A7268F" w:rsidRPr="000E6920">
        <w:rPr>
          <w:rFonts w:cs="Calibri"/>
          <w:bCs/>
          <w:sz w:val="24"/>
          <w:szCs w:val="24"/>
        </w:rPr>
        <w:t xml:space="preserve">. Payment of </w:t>
      </w:r>
      <w:r w:rsidRPr="000E6920">
        <w:rPr>
          <w:rFonts w:cs="Calibri"/>
          <w:bCs/>
          <w:sz w:val="24"/>
          <w:szCs w:val="24"/>
        </w:rPr>
        <w:t xml:space="preserve">domestic and foreign debt services as well as verified </w:t>
      </w:r>
      <w:r w:rsidRPr="000E6920">
        <w:rPr>
          <w:rFonts w:cs="Calibri"/>
          <w:bCs/>
          <w:sz w:val="24"/>
          <w:szCs w:val="24"/>
        </w:rPr>
        <w:lastRenderedPageBreak/>
        <w:t>arrears and claims by various suppliers and employees</w:t>
      </w:r>
      <w:r w:rsidR="00A7268F" w:rsidRPr="000E6920">
        <w:rPr>
          <w:rFonts w:cs="Calibri"/>
          <w:bCs/>
          <w:sz w:val="24"/>
          <w:szCs w:val="24"/>
        </w:rPr>
        <w:t xml:space="preserve"> is included among the current </w:t>
      </w:r>
      <w:r w:rsidR="00E33C87" w:rsidRPr="000E6920">
        <w:rPr>
          <w:rFonts w:cs="Calibri"/>
          <w:bCs/>
          <w:sz w:val="24"/>
          <w:szCs w:val="24"/>
        </w:rPr>
        <w:t xml:space="preserve">priority </w:t>
      </w:r>
      <w:r w:rsidR="00A7268F" w:rsidRPr="000E6920">
        <w:rPr>
          <w:rFonts w:cs="Calibri"/>
          <w:bCs/>
          <w:sz w:val="24"/>
          <w:szCs w:val="24"/>
        </w:rPr>
        <w:t>spending areas</w:t>
      </w:r>
      <w:r w:rsidRPr="000E6920">
        <w:rPr>
          <w:rFonts w:cs="Calibri"/>
          <w:bCs/>
          <w:sz w:val="24"/>
          <w:szCs w:val="24"/>
        </w:rPr>
        <w:t>.</w:t>
      </w:r>
    </w:p>
    <w:p w:rsidR="000E36F7" w:rsidRPr="000E6920" w:rsidRDefault="000E36F7" w:rsidP="000E6920">
      <w:pPr>
        <w:spacing w:after="0" w:line="240" w:lineRule="auto"/>
        <w:contextualSpacing/>
        <w:mirrorIndents/>
        <w:jc w:val="both"/>
        <w:rPr>
          <w:rFonts w:cs="Calibri"/>
          <w:b/>
          <w:bCs/>
          <w:sz w:val="24"/>
          <w:szCs w:val="24"/>
        </w:rPr>
      </w:pPr>
    </w:p>
    <w:p w:rsidR="002B65C4" w:rsidRDefault="0066580C" w:rsidP="005B28E5">
      <w:pPr>
        <w:numPr>
          <w:ilvl w:val="0"/>
          <w:numId w:val="30"/>
        </w:numPr>
        <w:tabs>
          <w:tab w:val="num" w:pos="720"/>
        </w:tabs>
        <w:spacing w:after="0" w:line="240" w:lineRule="auto"/>
        <w:ind w:left="0" w:firstLine="0"/>
        <w:contextualSpacing/>
        <w:mirrorIndents/>
        <w:jc w:val="both"/>
        <w:rPr>
          <w:rFonts w:cs="Calibri"/>
          <w:bCs/>
          <w:sz w:val="24"/>
          <w:szCs w:val="24"/>
        </w:rPr>
      </w:pPr>
      <w:r w:rsidRPr="000E6920">
        <w:rPr>
          <w:rFonts w:cs="Calibri"/>
          <w:b/>
          <w:bCs/>
          <w:sz w:val="24"/>
          <w:szCs w:val="24"/>
        </w:rPr>
        <w:t xml:space="preserve">The increase in minimum pay of civil servants and new hires </w:t>
      </w:r>
      <w:r w:rsidR="004D68B5">
        <w:rPr>
          <w:rFonts w:cs="Calibri"/>
          <w:b/>
          <w:bCs/>
          <w:sz w:val="24"/>
          <w:szCs w:val="24"/>
        </w:rPr>
        <w:t xml:space="preserve">means that </w:t>
      </w:r>
      <w:r w:rsidR="007A0A97">
        <w:rPr>
          <w:rFonts w:cs="Calibri"/>
          <w:b/>
          <w:bCs/>
          <w:sz w:val="24"/>
          <w:szCs w:val="24"/>
        </w:rPr>
        <w:t xml:space="preserve">the </w:t>
      </w:r>
      <w:r w:rsidR="007A0A97" w:rsidRPr="000E6920">
        <w:rPr>
          <w:rFonts w:cs="Calibri"/>
          <w:b/>
          <w:bCs/>
          <w:sz w:val="24"/>
          <w:szCs w:val="24"/>
        </w:rPr>
        <w:t>wage</w:t>
      </w:r>
      <w:r w:rsidRPr="000E6920">
        <w:rPr>
          <w:rFonts w:cs="Calibri"/>
          <w:b/>
          <w:bCs/>
          <w:sz w:val="24"/>
          <w:szCs w:val="24"/>
        </w:rPr>
        <w:t xml:space="preserve"> bill</w:t>
      </w:r>
      <w:r w:rsidR="000423E8" w:rsidRPr="000E6920">
        <w:rPr>
          <w:rStyle w:val="FootnoteReference"/>
          <w:rFonts w:cs="Calibri"/>
          <w:b/>
          <w:bCs/>
          <w:sz w:val="24"/>
          <w:szCs w:val="24"/>
        </w:rPr>
        <w:footnoteReference w:id="2"/>
      </w:r>
      <w:r w:rsidRPr="000E6920">
        <w:rPr>
          <w:rFonts w:cs="Calibri"/>
          <w:b/>
          <w:bCs/>
          <w:sz w:val="24"/>
          <w:szCs w:val="24"/>
        </w:rPr>
        <w:t xml:space="preserve"> </w:t>
      </w:r>
      <w:r w:rsidR="004D68B5">
        <w:rPr>
          <w:rFonts w:cs="Calibri"/>
          <w:b/>
          <w:bCs/>
          <w:sz w:val="24"/>
          <w:szCs w:val="24"/>
        </w:rPr>
        <w:t xml:space="preserve"> will </w:t>
      </w:r>
      <w:r w:rsidR="000423E8" w:rsidRPr="000E6920">
        <w:rPr>
          <w:rFonts w:cs="Calibri"/>
          <w:b/>
          <w:bCs/>
          <w:sz w:val="24"/>
          <w:szCs w:val="24"/>
        </w:rPr>
        <w:t>consum</w:t>
      </w:r>
      <w:r w:rsidR="004D68B5">
        <w:rPr>
          <w:rFonts w:cs="Calibri"/>
          <w:b/>
          <w:bCs/>
          <w:sz w:val="24"/>
          <w:szCs w:val="24"/>
        </w:rPr>
        <w:t>e</w:t>
      </w:r>
      <w:r w:rsidR="000423E8" w:rsidRPr="000E6920">
        <w:rPr>
          <w:rFonts w:cs="Calibri"/>
          <w:b/>
          <w:bCs/>
          <w:sz w:val="24"/>
          <w:szCs w:val="24"/>
        </w:rPr>
        <w:t xml:space="preserve"> </w:t>
      </w:r>
      <w:r w:rsidR="004D68B5">
        <w:rPr>
          <w:rFonts w:cs="Calibri"/>
          <w:b/>
          <w:bCs/>
          <w:sz w:val="24"/>
          <w:szCs w:val="24"/>
        </w:rPr>
        <w:t xml:space="preserve">about </w:t>
      </w:r>
      <w:r w:rsidR="000423E8" w:rsidRPr="000E6920">
        <w:rPr>
          <w:rFonts w:cs="Calibri"/>
          <w:b/>
          <w:bCs/>
          <w:sz w:val="24"/>
          <w:szCs w:val="24"/>
        </w:rPr>
        <w:t>40 percent of the budget in 2013/14</w:t>
      </w:r>
      <w:r w:rsidRPr="000E6920">
        <w:rPr>
          <w:rFonts w:cs="Calibri"/>
          <w:b/>
          <w:bCs/>
          <w:sz w:val="24"/>
          <w:szCs w:val="24"/>
        </w:rPr>
        <w:t>.</w:t>
      </w:r>
      <w:r w:rsidR="000423E8" w:rsidRPr="000E6920">
        <w:rPr>
          <w:rFonts w:cs="Calibri"/>
          <w:b/>
          <w:bCs/>
          <w:sz w:val="24"/>
          <w:szCs w:val="24"/>
        </w:rPr>
        <w:t xml:space="preserve"> </w:t>
      </w:r>
      <w:r w:rsidR="00130DFE" w:rsidRPr="000E6920">
        <w:rPr>
          <w:rFonts w:cs="Calibri"/>
          <w:b/>
          <w:bCs/>
          <w:sz w:val="24"/>
          <w:szCs w:val="24"/>
        </w:rPr>
        <w:t xml:space="preserve"> </w:t>
      </w:r>
      <w:r w:rsidR="000423E8" w:rsidRPr="000E6920">
        <w:rPr>
          <w:rFonts w:cs="Calibri"/>
          <w:bCs/>
          <w:sz w:val="24"/>
          <w:szCs w:val="24"/>
        </w:rPr>
        <w:t xml:space="preserve">The Government decided to increase the minimum salary of civil servants starting July 2013 to provide motivation for quality public service delivery while keeping up with the rising cost of living. Concurrently, the Government has decided to hire new staff in education, health and agriculture sectors with the aim of improving the quality of service delivery consistent with BRN objectives. </w:t>
      </w:r>
      <w:r w:rsidR="00130DFE" w:rsidRPr="000E6920">
        <w:rPr>
          <w:rFonts w:cs="Calibri"/>
          <w:bCs/>
          <w:sz w:val="24"/>
          <w:szCs w:val="24"/>
        </w:rPr>
        <w:t xml:space="preserve">While the need for improving quality of public service delivery through providing right </w:t>
      </w:r>
      <w:r w:rsidR="003E7D6D" w:rsidRPr="000E6920">
        <w:rPr>
          <w:rFonts w:cs="Calibri"/>
          <w:bCs/>
          <w:sz w:val="24"/>
          <w:szCs w:val="24"/>
        </w:rPr>
        <w:t>incentives to civil servants</w:t>
      </w:r>
      <w:r w:rsidR="00130DFE" w:rsidRPr="000E6920">
        <w:rPr>
          <w:rFonts w:cs="Calibri"/>
          <w:bCs/>
          <w:sz w:val="24"/>
          <w:szCs w:val="24"/>
        </w:rPr>
        <w:t xml:space="preserve"> and new hires is welcome,</w:t>
      </w:r>
      <w:r w:rsidR="003E7D6D" w:rsidRPr="000E6920">
        <w:rPr>
          <w:rFonts w:cs="Calibri"/>
          <w:bCs/>
          <w:sz w:val="24"/>
          <w:szCs w:val="24"/>
        </w:rPr>
        <w:t xml:space="preserve"> there is a need to have a right balance between the wage bill and other components of the budget, including development spending.</w:t>
      </w:r>
    </w:p>
    <w:p w:rsidR="005B28E5" w:rsidRPr="005B28E5" w:rsidRDefault="005B28E5" w:rsidP="005B28E5">
      <w:pPr>
        <w:spacing w:after="0" w:line="240" w:lineRule="auto"/>
        <w:contextualSpacing/>
        <w:mirrorIndents/>
        <w:jc w:val="both"/>
        <w:rPr>
          <w:rFonts w:cs="Calibri"/>
          <w:bCs/>
          <w:sz w:val="24"/>
          <w:szCs w:val="24"/>
        </w:rPr>
      </w:pPr>
    </w:p>
    <w:p w:rsidR="00F221D5" w:rsidRPr="002B65C4" w:rsidRDefault="00F221D5" w:rsidP="002B65C4">
      <w:pPr>
        <w:pStyle w:val="Caption"/>
        <w:spacing w:after="120"/>
        <w:jc w:val="center"/>
        <w:rPr>
          <w:rFonts w:cs="Calibri"/>
          <w:bCs w:val="0"/>
          <w:color w:val="auto"/>
          <w:sz w:val="22"/>
          <w:szCs w:val="22"/>
        </w:rPr>
      </w:pPr>
      <w:r w:rsidRPr="000E6920">
        <w:rPr>
          <w:color w:val="auto"/>
          <w:sz w:val="24"/>
          <w:szCs w:val="24"/>
        </w:rPr>
        <w:t>Table</w:t>
      </w:r>
      <w:r w:rsidRPr="002B65C4">
        <w:rPr>
          <w:color w:val="auto"/>
          <w:sz w:val="22"/>
          <w:szCs w:val="22"/>
        </w:rPr>
        <w:t xml:space="preserve"> </w:t>
      </w:r>
      <w:r w:rsidRPr="002B65C4">
        <w:rPr>
          <w:color w:val="auto"/>
          <w:sz w:val="22"/>
          <w:szCs w:val="22"/>
        </w:rPr>
        <w:fldChar w:fldCharType="begin"/>
      </w:r>
      <w:r w:rsidRPr="002B65C4">
        <w:rPr>
          <w:color w:val="auto"/>
          <w:sz w:val="22"/>
          <w:szCs w:val="22"/>
        </w:rPr>
        <w:instrText xml:space="preserve"> SEQ Table \* ARABIC </w:instrText>
      </w:r>
      <w:r w:rsidRPr="002B65C4">
        <w:rPr>
          <w:color w:val="auto"/>
          <w:sz w:val="22"/>
          <w:szCs w:val="22"/>
        </w:rPr>
        <w:fldChar w:fldCharType="separate"/>
      </w:r>
      <w:r w:rsidR="005B207F">
        <w:rPr>
          <w:noProof/>
          <w:color w:val="auto"/>
          <w:sz w:val="22"/>
          <w:szCs w:val="22"/>
        </w:rPr>
        <w:t>7</w:t>
      </w:r>
      <w:r w:rsidRPr="002B65C4">
        <w:rPr>
          <w:color w:val="auto"/>
          <w:sz w:val="22"/>
          <w:szCs w:val="22"/>
        </w:rPr>
        <w:fldChar w:fldCharType="end"/>
      </w:r>
      <w:r w:rsidRPr="002B65C4">
        <w:rPr>
          <w:color w:val="auto"/>
          <w:sz w:val="22"/>
          <w:szCs w:val="22"/>
        </w:rPr>
        <w:t xml:space="preserve">: </w:t>
      </w:r>
      <w:r w:rsidRPr="002B65C4">
        <w:rPr>
          <w:rFonts w:cs="Calibri"/>
          <w:bCs w:val="0"/>
          <w:color w:val="auto"/>
          <w:sz w:val="22"/>
          <w:szCs w:val="22"/>
        </w:rPr>
        <w:t>Trends in wage bill components (in percent of total budget)</w:t>
      </w:r>
    </w:p>
    <w:p w:rsidR="00F221D5" w:rsidRPr="002B65C4" w:rsidRDefault="00F221D5" w:rsidP="002B65C4">
      <w:pPr>
        <w:spacing w:after="0" w:line="240" w:lineRule="auto"/>
        <w:contextualSpacing/>
        <w:mirrorIndents/>
        <w:jc w:val="center"/>
        <w:rPr>
          <w:rFonts w:cs="Calibri"/>
          <w:bCs/>
          <w:sz w:val="24"/>
          <w:szCs w:val="24"/>
        </w:rPr>
      </w:pPr>
      <w:r w:rsidRPr="00F221D5">
        <w:rPr>
          <w:noProof/>
        </w:rPr>
        <w:drawing>
          <wp:inline distT="0" distB="0" distL="0" distR="0" wp14:anchorId="7ACB31A5" wp14:editId="603C8E2F">
            <wp:extent cx="5748867" cy="14732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78579" cy="1480814"/>
                    </a:xfrm>
                    <a:prstGeom prst="rect">
                      <a:avLst/>
                    </a:prstGeom>
                    <a:noFill/>
                    <a:ln>
                      <a:noFill/>
                    </a:ln>
                  </pic:spPr>
                </pic:pic>
              </a:graphicData>
            </a:graphic>
          </wp:inline>
        </w:drawing>
      </w:r>
    </w:p>
    <w:p w:rsidR="0066580C" w:rsidRDefault="007A0A97" w:rsidP="0066580C">
      <w:pPr>
        <w:spacing w:after="0" w:line="240" w:lineRule="auto"/>
        <w:contextualSpacing/>
        <w:mirrorIndents/>
        <w:jc w:val="both"/>
        <w:rPr>
          <w:rFonts w:cs="Calibri"/>
          <w:bCs/>
          <w:sz w:val="24"/>
          <w:szCs w:val="24"/>
        </w:rPr>
      </w:pPr>
      <w:r>
        <w:rPr>
          <w:rFonts w:cs="Calibri"/>
          <w:bCs/>
        </w:rPr>
        <w:t xml:space="preserve">  Source:</w:t>
      </w:r>
      <w:r w:rsidR="007439EA">
        <w:rPr>
          <w:rFonts w:cs="Calibri"/>
          <w:bCs/>
        </w:rPr>
        <w:t xml:space="preserve">  Ministry of Finance and </w:t>
      </w:r>
      <w:r w:rsidR="0048146C">
        <w:rPr>
          <w:rFonts w:cs="Calibri"/>
          <w:bCs/>
        </w:rPr>
        <w:t>World Bank estimates</w:t>
      </w:r>
    </w:p>
    <w:p w:rsidR="007A0A97" w:rsidRPr="002B65C4" w:rsidRDefault="007A0A97" w:rsidP="0066580C">
      <w:pPr>
        <w:spacing w:after="0" w:line="240" w:lineRule="auto"/>
        <w:contextualSpacing/>
        <w:mirrorIndents/>
        <w:jc w:val="both"/>
        <w:rPr>
          <w:rFonts w:cs="Calibri"/>
          <w:bCs/>
          <w:sz w:val="24"/>
          <w:szCs w:val="24"/>
        </w:rPr>
      </w:pPr>
    </w:p>
    <w:p w:rsidR="005B28E5" w:rsidRPr="000E6920" w:rsidRDefault="005B28E5" w:rsidP="005B28E5">
      <w:pPr>
        <w:numPr>
          <w:ilvl w:val="0"/>
          <w:numId w:val="30"/>
        </w:numPr>
        <w:tabs>
          <w:tab w:val="num" w:pos="720"/>
        </w:tabs>
        <w:spacing w:after="0" w:line="240" w:lineRule="auto"/>
        <w:ind w:left="0" w:firstLine="0"/>
        <w:contextualSpacing/>
        <w:mirrorIndents/>
        <w:jc w:val="both"/>
        <w:rPr>
          <w:rFonts w:cs="Calibri"/>
          <w:bCs/>
          <w:sz w:val="24"/>
          <w:szCs w:val="24"/>
        </w:rPr>
      </w:pPr>
      <w:r w:rsidRPr="000E6920">
        <w:rPr>
          <w:rFonts w:cs="Calibri"/>
          <w:b/>
          <w:bCs/>
          <w:sz w:val="24"/>
          <w:szCs w:val="24"/>
        </w:rPr>
        <w:t xml:space="preserve">Despite the increase in wage bill the share of allowances in the budget slightly declines reflecting the Government policy of limiting </w:t>
      </w:r>
      <w:r w:rsidR="004D68B5">
        <w:rPr>
          <w:rFonts w:cs="Calibri"/>
          <w:b/>
          <w:bCs/>
          <w:sz w:val="24"/>
          <w:szCs w:val="24"/>
        </w:rPr>
        <w:t xml:space="preserve">the </w:t>
      </w:r>
      <w:r w:rsidRPr="000E6920">
        <w:rPr>
          <w:rFonts w:cs="Calibri"/>
          <w:b/>
          <w:bCs/>
          <w:sz w:val="24"/>
          <w:szCs w:val="24"/>
        </w:rPr>
        <w:t xml:space="preserve">use </w:t>
      </w:r>
      <w:r w:rsidR="004D68B5">
        <w:rPr>
          <w:rFonts w:cs="Calibri"/>
          <w:b/>
          <w:bCs/>
          <w:sz w:val="24"/>
          <w:szCs w:val="24"/>
        </w:rPr>
        <w:t xml:space="preserve">of </w:t>
      </w:r>
      <w:r w:rsidRPr="000E6920">
        <w:rPr>
          <w:rFonts w:cs="Calibri"/>
          <w:b/>
          <w:bCs/>
          <w:sz w:val="24"/>
          <w:szCs w:val="24"/>
        </w:rPr>
        <w:t xml:space="preserve">allowances to compensate for low pay. </w:t>
      </w:r>
      <w:r w:rsidRPr="007A0A97">
        <w:rPr>
          <w:rFonts w:cs="Calibri"/>
          <w:bCs/>
          <w:sz w:val="24"/>
          <w:szCs w:val="24"/>
        </w:rPr>
        <w:t>Spending on allowances is projected to decline</w:t>
      </w:r>
      <w:r w:rsidRPr="000E6920">
        <w:rPr>
          <w:rFonts w:cs="Calibri"/>
          <w:b/>
          <w:bCs/>
          <w:sz w:val="24"/>
          <w:szCs w:val="24"/>
        </w:rPr>
        <w:t xml:space="preserve"> </w:t>
      </w:r>
      <w:r w:rsidRPr="000E6920">
        <w:rPr>
          <w:rFonts w:cs="Calibri"/>
          <w:bCs/>
          <w:sz w:val="24"/>
          <w:szCs w:val="24"/>
        </w:rPr>
        <w:t>both as the share of total budget and in percentage of GDP to 3.8 percent and 1.1 percent respectively. These allowances include both remunerative consuming 40 percent and duty facilitating consuming 60 percent of total allowances.</w:t>
      </w:r>
    </w:p>
    <w:p w:rsidR="005B28E5" w:rsidRPr="00BF0DCD" w:rsidRDefault="005B28E5" w:rsidP="005B28E5">
      <w:pPr>
        <w:spacing w:after="0" w:line="240" w:lineRule="auto"/>
        <w:contextualSpacing/>
        <w:mirrorIndents/>
        <w:jc w:val="both"/>
        <w:rPr>
          <w:rFonts w:cs="Calibri"/>
          <w:bCs/>
          <w:sz w:val="24"/>
          <w:szCs w:val="24"/>
        </w:rPr>
      </w:pPr>
    </w:p>
    <w:p w:rsidR="005C45D1" w:rsidRPr="000E6920" w:rsidRDefault="006B3874" w:rsidP="000E6920">
      <w:pPr>
        <w:numPr>
          <w:ilvl w:val="0"/>
          <w:numId w:val="30"/>
        </w:numPr>
        <w:tabs>
          <w:tab w:val="num" w:pos="720"/>
        </w:tabs>
        <w:spacing w:after="0" w:line="240" w:lineRule="auto"/>
        <w:ind w:left="0" w:firstLine="0"/>
        <w:contextualSpacing/>
        <w:mirrorIndents/>
        <w:jc w:val="both"/>
        <w:rPr>
          <w:rFonts w:cs="Calibri"/>
          <w:bCs/>
          <w:sz w:val="24"/>
          <w:szCs w:val="24"/>
        </w:rPr>
      </w:pPr>
      <w:r w:rsidRPr="000E6920">
        <w:rPr>
          <w:rFonts w:cs="Calibri"/>
          <w:b/>
          <w:bCs/>
          <w:sz w:val="24"/>
          <w:szCs w:val="24"/>
        </w:rPr>
        <w:t>A</w:t>
      </w:r>
      <w:r w:rsidR="00976236">
        <w:rPr>
          <w:rFonts w:cs="Calibri"/>
          <w:b/>
          <w:bCs/>
          <w:sz w:val="24"/>
          <w:szCs w:val="24"/>
        </w:rPr>
        <w:t>s in recent years</w:t>
      </w:r>
      <w:r w:rsidR="00D92E1D" w:rsidRPr="000E6920">
        <w:rPr>
          <w:b/>
          <w:sz w:val="24"/>
          <w:szCs w:val="24"/>
        </w:rPr>
        <w:t>, infrastructure maintenance is a</w:t>
      </w:r>
      <w:r w:rsidR="00976236">
        <w:rPr>
          <w:b/>
          <w:sz w:val="24"/>
          <w:szCs w:val="24"/>
        </w:rPr>
        <w:t xml:space="preserve"> low priority </w:t>
      </w:r>
      <w:r w:rsidR="00D92E1D" w:rsidRPr="000E6920">
        <w:rPr>
          <w:b/>
          <w:sz w:val="24"/>
          <w:szCs w:val="24"/>
        </w:rPr>
        <w:t xml:space="preserve">of the 2013/14 budget. </w:t>
      </w:r>
      <w:r w:rsidR="00D92E1D" w:rsidRPr="000E6920">
        <w:rPr>
          <w:sz w:val="24"/>
          <w:szCs w:val="24"/>
        </w:rPr>
        <w:t xml:space="preserve">The overall share of the budget allocated for infrastructure maintenance declines to less than </w:t>
      </w:r>
      <w:r w:rsidR="00D92E1D" w:rsidRPr="0070338C">
        <w:rPr>
          <w:sz w:val="24"/>
          <w:szCs w:val="24"/>
        </w:rPr>
        <w:t>3 percent</w:t>
      </w:r>
      <w:r w:rsidR="00D92E1D" w:rsidRPr="000E6920">
        <w:rPr>
          <w:sz w:val="24"/>
          <w:szCs w:val="24"/>
        </w:rPr>
        <w:t xml:space="preserve"> in 2013/14. Inadequate allocation for infrastructure maintenance, especially in sectors such as energy, water and roads sectors, has undoubtedly resulted in unreliab</w:t>
      </w:r>
      <w:r w:rsidR="00E33C87" w:rsidRPr="000E6920">
        <w:rPr>
          <w:sz w:val="24"/>
          <w:szCs w:val="24"/>
        </w:rPr>
        <w:t>le</w:t>
      </w:r>
      <w:r w:rsidR="00D92E1D" w:rsidRPr="000E6920">
        <w:rPr>
          <w:sz w:val="24"/>
          <w:szCs w:val="24"/>
        </w:rPr>
        <w:t xml:space="preserve"> and low access to electricity, water and rural roads. This problem hinders Tanzania’s potential for higher growth and </w:t>
      </w:r>
      <w:r w:rsidR="00E33C87" w:rsidRPr="000E6920">
        <w:rPr>
          <w:sz w:val="24"/>
          <w:szCs w:val="24"/>
        </w:rPr>
        <w:t xml:space="preserve">the </w:t>
      </w:r>
      <w:r w:rsidR="00D92E1D" w:rsidRPr="000E6920">
        <w:rPr>
          <w:sz w:val="24"/>
          <w:szCs w:val="24"/>
        </w:rPr>
        <w:t xml:space="preserve">reduction of poverty. Some backlogs and additional new infrastructure investment require increased allocation for maintenance to avoid huge rehabilitation or reconstruction costs in the future. </w:t>
      </w:r>
    </w:p>
    <w:p w:rsidR="00D92E1D" w:rsidRPr="000E6920" w:rsidRDefault="00D92E1D" w:rsidP="000E6920">
      <w:pPr>
        <w:spacing w:after="0" w:line="240" w:lineRule="auto"/>
        <w:contextualSpacing/>
        <w:mirrorIndents/>
        <w:jc w:val="both"/>
        <w:rPr>
          <w:rFonts w:cs="Calibri"/>
          <w:bCs/>
          <w:sz w:val="24"/>
          <w:szCs w:val="24"/>
        </w:rPr>
      </w:pPr>
    </w:p>
    <w:p w:rsidR="00B3497E" w:rsidRPr="000E6920" w:rsidRDefault="00F750CB" w:rsidP="000E6920">
      <w:pPr>
        <w:numPr>
          <w:ilvl w:val="0"/>
          <w:numId w:val="30"/>
        </w:numPr>
        <w:tabs>
          <w:tab w:val="num" w:pos="720"/>
        </w:tabs>
        <w:spacing w:after="0" w:line="240" w:lineRule="auto"/>
        <w:ind w:left="0" w:firstLine="0"/>
        <w:contextualSpacing/>
        <w:mirrorIndents/>
        <w:jc w:val="both"/>
        <w:rPr>
          <w:rFonts w:cs="Calibri"/>
          <w:bCs/>
          <w:sz w:val="24"/>
          <w:szCs w:val="24"/>
        </w:rPr>
      </w:pPr>
      <w:r w:rsidRPr="000E6920">
        <w:rPr>
          <w:rFonts w:cs="Times New Roman"/>
          <w:b/>
          <w:i/>
          <w:sz w:val="24"/>
          <w:szCs w:val="24"/>
        </w:rPr>
        <w:t>Development spending</w:t>
      </w:r>
      <w:r w:rsidR="00241A9A" w:rsidRPr="000E6920">
        <w:rPr>
          <w:rFonts w:cs="Times New Roman"/>
          <w:b/>
          <w:i/>
          <w:sz w:val="24"/>
          <w:szCs w:val="24"/>
        </w:rPr>
        <w:t>:</w:t>
      </w:r>
      <w:r w:rsidRPr="000E6920">
        <w:rPr>
          <w:rFonts w:cs="Times New Roman"/>
          <w:b/>
          <w:sz w:val="24"/>
          <w:szCs w:val="24"/>
        </w:rPr>
        <w:t xml:space="preserve"> </w:t>
      </w:r>
      <w:r w:rsidR="00241A9A" w:rsidRPr="000E6920">
        <w:rPr>
          <w:rFonts w:cs="Calibri"/>
          <w:b/>
          <w:bCs/>
          <w:sz w:val="24"/>
          <w:szCs w:val="24"/>
        </w:rPr>
        <w:t xml:space="preserve">Development expenditures are projected to </w:t>
      </w:r>
      <w:r w:rsidR="009777AA" w:rsidRPr="000E6920">
        <w:rPr>
          <w:rFonts w:cs="Calibri"/>
          <w:b/>
          <w:bCs/>
          <w:sz w:val="24"/>
          <w:szCs w:val="24"/>
        </w:rPr>
        <w:t xml:space="preserve">increase </w:t>
      </w:r>
      <w:r w:rsidR="003D3A14" w:rsidRPr="000E6920">
        <w:rPr>
          <w:rFonts w:cs="Calibri"/>
          <w:b/>
          <w:bCs/>
          <w:sz w:val="24"/>
          <w:szCs w:val="24"/>
        </w:rPr>
        <w:t xml:space="preserve">significantly </w:t>
      </w:r>
      <w:r w:rsidR="00E33C87" w:rsidRPr="000E6920">
        <w:rPr>
          <w:rFonts w:cs="Calibri"/>
          <w:b/>
          <w:bCs/>
          <w:sz w:val="24"/>
          <w:szCs w:val="24"/>
        </w:rPr>
        <w:t>in</w:t>
      </w:r>
      <w:r w:rsidR="008B5980" w:rsidRPr="000E6920">
        <w:rPr>
          <w:rFonts w:cs="Calibri"/>
          <w:b/>
          <w:bCs/>
          <w:sz w:val="24"/>
          <w:szCs w:val="24"/>
        </w:rPr>
        <w:t xml:space="preserve"> 2013/14, </w:t>
      </w:r>
      <w:r w:rsidR="00976236">
        <w:rPr>
          <w:rFonts w:cs="Calibri"/>
          <w:b/>
          <w:bCs/>
          <w:sz w:val="24"/>
          <w:szCs w:val="24"/>
        </w:rPr>
        <w:t xml:space="preserve">largely as the result of </w:t>
      </w:r>
      <w:r w:rsidR="008B5980" w:rsidRPr="000E6920">
        <w:rPr>
          <w:rFonts w:cs="Calibri"/>
          <w:b/>
          <w:bCs/>
          <w:sz w:val="24"/>
          <w:szCs w:val="24"/>
        </w:rPr>
        <w:t xml:space="preserve">the </w:t>
      </w:r>
      <w:r w:rsidR="00241A9A" w:rsidRPr="000E6920">
        <w:rPr>
          <w:rFonts w:cs="Calibri"/>
          <w:b/>
          <w:bCs/>
          <w:sz w:val="24"/>
          <w:szCs w:val="24"/>
        </w:rPr>
        <w:t xml:space="preserve">BRN </w:t>
      </w:r>
      <w:r w:rsidR="009777AA" w:rsidRPr="000E6920">
        <w:rPr>
          <w:rFonts w:cs="Calibri"/>
          <w:b/>
          <w:bCs/>
          <w:sz w:val="24"/>
          <w:szCs w:val="24"/>
        </w:rPr>
        <w:t xml:space="preserve">action plans </w:t>
      </w:r>
      <w:r w:rsidR="008B5980" w:rsidRPr="000E6920">
        <w:rPr>
          <w:rFonts w:cs="Calibri"/>
          <w:b/>
          <w:bCs/>
          <w:sz w:val="24"/>
          <w:szCs w:val="24"/>
        </w:rPr>
        <w:t xml:space="preserve">and other priority </w:t>
      </w:r>
      <w:r w:rsidR="008B5980" w:rsidRPr="000E6920">
        <w:rPr>
          <w:rFonts w:cs="Calibri"/>
          <w:b/>
          <w:bCs/>
          <w:sz w:val="24"/>
          <w:szCs w:val="24"/>
        </w:rPr>
        <w:lastRenderedPageBreak/>
        <w:t>projects under FYDP</w:t>
      </w:r>
      <w:r w:rsidR="009777AA" w:rsidRPr="000E6920">
        <w:rPr>
          <w:rFonts w:cs="Calibri"/>
          <w:b/>
          <w:bCs/>
          <w:sz w:val="24"/>
          <w:szCs w:val="24"/>
        </w:rPr>
        <w:t>.</w:t>
      </w:r>
      <w:r w:rsidR="00241A9A" w:rsidRPr="000E6920">
        <w:rPr>
          <w:rFonts w:cs="Calibri"/>
          <w:bCs/>
          <w:sz w:val="24"/>
          <w:szCs w:val="24"/>
        </w:rPr>
        <w:t xml:space="preserve"> </w:t>
      </w:r>
      <w:r w:rsidR="008B5980" w:rsidRPr="000E6920">
        <w:rPr>
          <w:rFonts w:cs="Calibri"/>
          <w:bCs/>
          <w:sz w:val="24"/>
          <w:szCs w:val="24"/>
        </w:rPr>
        <w:t xml:space="preserve"> D</w:t>
      </w:r>
      <w:r w:rsidR="00241A9A" w:rsidRPr="000E6920">
        <w:rPr>
          <w:rFonts w:cs="Calibri"/>
          <w:bCs/>
          <w:sz w:val="24"/>
          <w:szCs w:val="24"/>
        </w:rPr>
        <w:t xml:space="preserve">evelopment spending is projected to increase by </w:t>
      </w:r>
      <w:r w:rsidR="009777AA" w:rsidRPr="000E6920">
        <w:rPr>
          <w:rFonts w:cs="Calibri"/>
          <w:bCs/>
          <w:sz w:val="24"/>
          <w:szCs w:val="24"/>
        </w:rPr>
        <w:t>26</w:t>
      </w:r>
      <w:r w:rsidR="00241A9A" w:rsidRPr="000E6920">
        <w:rPr>
          <w:rFonts w:cs="Calibri"/>
          <w:bCs/>
          <w:sz w:val="24"/>
          <w:szCs w:val="24"/>
        </w:rPr>
        <w:t xml:space="preserve"> percent in </w:t>
      </w:r>
      <w:r w:rsidR="009777AA" w:rsidRPr="000E6920">
        <w:rPr>
          <w:rFonts w:cs="Calibri"/>
          <w:bCs/>
          <w:sz w:val="24"/>
          <w:szCs w:val="24"/>
        </w:rPr>
        <w:t xml:space="preserve">real </w:t>
      </w:r>
      <w:r w:rsidR="00241A9A" w:rsidRPr="000E6920">
        <w:rPr>
          <w:rFonts w:cs="Calibri"/>
          <w:bCs/>
          <w:sz w:val="24"/>
          <w:szCs w:val="24"/>
        </w:rPr>
        <w:t>terms reaching 10.3 percent of GDP</w:t>
      </w:r>
      <w:r w:rsidR="009777AA" w:rsidRPr="000E6920">
        <w:rPr>
          <w:rFonts w:cs="Calibri"/>
          <w:bCs/>
          <w:sz w:val="24"/>
          <w:szCs w:val="24"/>
        </w:rPr>
        <w:t>, up</w:t>
      </w:r>
      <w:r w:rsidR="00241A9A" w:rsidRPr="000E6920">
        <w:rPr>
          <w:rFonts w:cs="Calibri"/>
          <w:bCs/>
          <w:sz w:val="24"/>
          <w:szCs w:val="24"/>
        </w:rPr>
        <w:t xml:space="preserve"> from 8.9 percent of GDP in</w:t>
      </w:r>
      <w:r w:rsidR="00FF6782">
        <w:rPr>
          <w:rFonts w:cs="Calibri"/>
          <w:bCs/>
          <w:sz w:val="24"/>
          <w:szCs w:val="24"/>
        </w:rPr>
        <w:t xml:space="preserve"> </w:t>
      </w:r>
      <w:r w:rsidR="00241A9A" w:rsidRPr="000E6920">
        <w:rPr>
          <w:rFonts w:cs="Calibri"/>
          <w:bCs/>
          <w:sz w:val="24"/>
          <w:szCs w:val="24"/>
        </w:rPr>
        <w:t>2012/13</w:t>
      </w:r>
      <w:r w:rsidR="00FF6782" w:rsidRPr="00FF6782">
        <w:rPr>
          <w:rFonts w:cs="Calibri"/>
          <w:bCs/>
          <w:sz w:val="24"/>
          <w:szCs w:val="24"/>
        </w:rPr>
        <w:t xml:space="preserve"> </w:t>
      </w:r>
      <w:r w:rsidR="00FF6782">
        <w:rPr>
          <w:rFonts w:cs="Calibri"/>
          <w:bCs/>
          <w:sz w:val="24"/>
          <w:szCs w:val="24"/>
        </w:rPr>
        <w:t>approved budget</w:t>
      </w:r>
      <w:r w:rsidR="00241A9A" w:rsidRPr="000E6920">
        <w:rPr>
          <w:rFonts w:cs="Calibri"/>
          <w:bCs/>
          <w:sz w:val="24"/>
          <w:szCs w:val="24"/>
        </w:rPr>
        <w:t xml:space="preserve">. </w:t>
      </w:r>
      <w:r w:rsidR="003D3A14" w:rsidRPr="000E6920">
        <w:rPr>
          <w:rFonts w:cs="Calibri"/>
          <w:bCs/>
          <w:sz w:val="24"/>
          <w:szCs w:val="24"/>
        </w:rPr>
        <w:t>The Government project</w:t>
      </w:r>
      <w:r w:rsidR="00976236">
        <w:rPr>
          <w:rFonts w:cs="Calibri"/>
          <w:bCs/>
          <w:sz w:val="24"/>
          <w:szCs w:val="24"/>
        </w:rPr>
        <w:t>s</w:t>
      </w:r>
      <w:r w:rsidR="003D3A14" w:rsidRPr="000E6920">
        <w:rPr>
          <w:rFonts w:cs="Calibri"/>
          <w:bCs/>
          <w:sz w:val="24"/>
          <w:szCs w:val="24"/>
        </w:rPr>
        <w:t xml:space="preserve"> to </w:t>
      </w:r>
      <w:r w:rsidR="003D3A14" w:rsidRPr="0070338C">
        <w:rPr>
          <w:rFonts w:cs="Calibri"/>
          <w:bCs/>
          <w:sz w:val="24"/>
          <w:szCs w:val="24"/>
        </w:rPr>
        <w:t>spend Tsh 2, 289 billion (equivalent to 4.1 percent of GDP) on strategic projects under the BRN initiative and Tsh</w:t>
      </w:r>
      <w:r w:rsidR="00F55690">
        <w:rPr>
          <w:rFonts w:cs="Calibri"/>
          <w:bCs/>
          <w:sz w:val="24"/>
          <w:szCs w:val="24"/>
        </w:rPr>
        <w:t>.</w:t>
      </w:r>
      <w:r w:rsidR="003D3A14" w:rsidRPr="0070338C">
        <w:rPr>
          <w:rFonts w:cs="Calibri"/>
          <w:bCs/>
          <w:sz w:val="24"/>
          <w:szCs w:val="24"/>
        </w:rPr>
        <w:t xml:space="preserve"> </w:t>
      </w:r>
      <w:r w:rsidR="001930DD" w:rsidRPr="0070338C">
        <w:rPr>
          <w:rFonts w:cs="Calibri"/>
          <w:bCs/>
          <w:sz w:val="24"/>
          <w:szCs w:val="24"/>
        </w:rPr>
        <w:t>3</w:t>
      </w:r>
      <w:r w:rsidR="003D3A14" w:rsidRPr="0070338C">
        <w:rPr>
          <w:rFonts w:cs="Calibri"/>
          <w:bCs/>
          <w:sz w:val="24"/>
          <w:szCs w:val="24"/>
        </w:rPr>
        <w:t>,</w:t>
      </w:r>
      <w:r w:rsidR="001930DD" w:rsidRPr="0070338C">
        <w:rPr>
          <w:rFonts w:cs="Calibri"/>
          <w:bCs/>
          <w:sz w:val="24"/>
          <w:szCs w:val="24"/>
        </w:rPr>
        <w:t>386</w:t>
      </w:r>
      <w:r w:rsidR="003D3A14" w:rsidRPr="0070338C">
        <w:rPr>
          <w:rFonts w:cs="Calibri"/>
          <w:bCs/>
          <w:sz w:val="24"/>
          <w:szCs w:val="24"/>
        </w:rPr>
        <w:t xml:space="preserve"> billion (equivalent to </w:t>
      </w:r>
      <w:r w:rsidR="001930DD" w:rsidRPr="0070338C">
        <w:rPr>
          <w:rFonts w:cs="Calibri"/>
          <w:bCs/>
          <w:sz w:val="24"/>
          <w:szCs w:val="24"/>
        </w:rPr>
        <w:t>6.2</w:t>
      </w:r>
      <w:r w:rsidR="003D3A14" w:rsidRPr="0070338C">
        <w:rPr>
          <w:rFonts w:cs="Calibri"/>
          <w:bCs/>
          <w:sz w:val="24"/>
          <w:szCs w:val="24"/>
        </w:rPr>
        <w:t xml:space="preserve"> percent of GDP) on other priority projects geared towards promoting economic growth and poverty reduction</w:t>
      </w:r>
      <w:r w:rsidR="00D60F30">
        <w:rPr>
          <w:rFonts w:cs="Calibri"/>
          <w:bCs/>
          <w:sz w:val="24"/>
          <w:szCs w:val="24"/>
        </w:rPr>
        <w:t xml:space="preserve"> (see more details in next section)</w:t>
      </w:r>
      <w:r w:rsidR="006B3874" w:rsidRPr="0070338C">
        <w:rPr>
          <w:rFonts w:cs="Calibri"/>
          <w:bCs/>
          <w:sz w:val="24"/>
          <w:szCs w:val="24"/>
        </w:rPr>
        <w:t>.</w:t>
      </w:r>
      <w:r w:rsidR="00241A9A" w:rsidRPr="0070338C">
        <w:rPr>
          <w:rFonts w:cs="Calibri"/>
          <w:bCs/>
          <w:sz w:val="24"/>
          <w:szCs w:val="24"/>
        </w:rPr>
        <w:t xml:space="preserve"> </w:t>
      </w:r>
      <w:r w:rsidR="00241A9A" w:rsidRPr="000E6920">
        <w:rPr>
          <w:rFonts w:cs="Calibri"/>
          <w:bCs/>
          <w:sz w:val="24"/>
          <w:szCs w:val="24"/>
        </w:rPr>
        <w:t xml:space="preserve"> </w:t>
      </w:r>
    </w:p>
    <w:p w:rsidR="00292CA3" w:rsidRPr="000E6920" w:rsidRDefault="00292CA3" w:rsidP="005B28E5">
      <w:pPr>
        <w:spacing w:after="0" w:line="240" w:lineRule="auto"/>
        <w:contextualSpacing/>
        <w:mirrorIndents/>
        <w:jc w:val="both"/>
        <w:rPr>
          <w:rFonts w:cs="Calibri"/>
          <w:bCs/>
          <w:sz w:val="24"/>
          <w:szCs w:val="24"/>
        </w:rPr>
      </w:pPr>
    </w:p>
    <w:p w:rsidR="00DA05F0" w:rsidRPr="00DA05F0" w:rsidRDefault="00DA05F0" w:rsidP="00DA05F0">
      <w:pPr>
        <w:pStyle w:val="Caption"/>
        <w:spacing w:after="120"/>
        <w:jc w:val="center"/>
        <w:rPr>
          <w:rFonts w:cs="Calibri"/>
          <w:bCs w:val="0"/>
          <w:color w:val="auto"/>
          <w:sz w:val="22"/>
          <w:szCs w:val="22"/>
        </w:rPr>
      </w:pPr>
      <w:r w:rsidRPr="00DA05F0">
        <w:rPr>
          <w:color w:val="auto"/>
          <w:sz w:val="22"/>
          <w:szCs w:val="22"/>
        </w:rPr>
        <w:t xml:space="preserve">Table </w:t>
      </w:r>
      <w:r w:rsidRPr="00DA05F0">
        <w:rPr>
          <w:color w:val="auto"/>
          <w:sz w:val="22"/>
          <w:szCs w:val="22"/>
        </w:rPr>
        <w:fldChar w:fldCharType="begin"/>
      </w:r>
      <w:r w:rsidRPr="00DA05F0">
        <w:rPr>
          <w:color w:val="auto"/>
          <w:sz w:val="22"/>
          <w:szCs w:val="22"/>
        </w:rPr>
        <w:instrText xml:space="preserve"> SEQ Table \* ARABIC </w:instrText>
      </w:r>
      <w:r w:rsidRPr="00DA05F0">
        <w:rPr>
          <w:color w:val="auto"/>
          <w:sz w:val="22"/>
          <w:szCs w:val="22"/>
        </w:rPr>
        <w:fldChar w:fldCharType="separate"/>
      </w:r>
      <w:r w:rsidR="005B207F">
        <w:rPr>
          <w:noProof/>
          <w:color w:val="auto"/>
          <w:sz w:val="22"/>
          <w:szCs w:val="22"/>
        </w:rPr>
        <w:t>8</w:t>
      </w:r>
      <w:r w:rsidRPr="00DA05F0">
        <w:rPr>
          <w:color w:val="auto"/>
          <w:sz w:val="22"/>
          <w:szCs w:val="22"/>
        </w:rPr>
        <w:fldChar w:fldCharType="end"/>
      </w:r>
      <w:r w:rsidRPr="00DA05F0">
        <w:rPr>
          <w:color w:val="auto"/>
          <w:sz w:val="22"/>
          <w:szCs w:val="22"/>
        </w:rPr>
        <w:t xml:space="preserve">: </w:t>
      </w:r>
      <w:r w:rsidR="007B4708">
        <w:rPr>
          <w:color w:val="auto"/>
          <w:sz w:val="22"/>
          <w:szCs w:val="22"/>
        </w:rPr>
        <w:t>T</w:t>
      </w:r>
      <w:r w:rsidRPr="00DA05F0">
        <w:rPr>
          <w:color w:val="auto"/>
          <w:sz w:val="22"/>
          <w:szCs w:val="22"/>
        </w:rPr>
        <w:t xml:space="preserve">rends in current and capital spending (in percent of </w:t>
      </w:r>
      <w:r w:rsidR="00B64F9D">
        <w:rPr>
          <w:color w:val="auto"/>
          <w:sz w:val="22"/>
          <w:szCs w:val="22"/>
        </w:rPr>
        <w:t xml:space="preserve">approved </w:t>
      </w:r>
      <w:r w:rsidRPr="00DA05F0">
        <w:rPr>
          <w:color w:val="auto"/>
          <w:sz w:val="22"/>
          <w:szCs w:val="22"/>
        </w:rPr>
        <w:t>total budget)</w:t>
      </w:r>
    </w:p>
    <w:p w:rsidR="00DA05F0" w:rsidRDefault="00F55690" w:rsidP="00DA05F0">
      <w:pPr>
        <w:spacing w:after="0" w:line="240" w:lineRule="auto"/>
        <w:contextualSpacing/>
        <w:mirrorIndents/>
        <w:jc w:val="center"/>
        <w:rPr>
          <w:rFonts w:cs="Calibri"/>
          <w:bCs/>
          <w:sz w:val="24"/>
          <w:szCs w:val="24"/>
        </w:rPr>
      </w:pPr>
      <w:r w:rsidRPr="00F55690">
        <w:rPr>
          <w:noProof/>
        </w:rPr>
        <w:drawing>
          <wp:inline distT="0" distB="0" distL="0" distR="0" wp14:anchorId="0E279C09" wp14:editId="2099BB85">
            <wp:extent cx="5359400" cy="81128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59400" cy="811285"/>
                    </a:xfrm>
                    <a:prstGeom prst="rect">
                      <a:avLst/>
                    </a:prstGeom>
                    <a:noFill/>
                    <a:ln>
                      <a:noFill/>
                    </a:ln>
                  </pic:spPr>
                </pic:pic>
              </a:graphicData>
            </a:graphic>
          </wp:inline>
        </w:drawing>
      </w:r>
    </w:p>
    <w:p w:rsidR="001A14E6" w:rsidRPr="00546A71" w:rsidRDefault="00DA05F0" w:rsidP="004E6696">
      <w:pPr>
        <w:spacing w:after="0" w:line="240" w:lineRule="auto"/>
        <w:contextualSpacing/>
        <w:mirrorIndents/>
        <w:rPr>
          <w:rFonts w:cs="Calibri"/>
          <w:bCs/>
          <w:sz w:val="24"/>
          <w:szCs w:val="24"/>
        </w:rPr>
      </w:pPr>
      <w:r>
        <w:rPr>
          <w:rFonts w:cs="Calibri"/>
          <w:bCs/>
        </w:rPr>
        <w:t xml:space="preserve">     </w:t>
      </w:r>
      <w:r w:rsidR="001A14E6">
        <w:rPr>
          <w:rFonts w:cs="Calibri"/>
          <w:bCs/>
        </w:rPr>
        <w:t xml:space="preserve"> </w:t>
      </w:r>
      <w:r w:rsidR="00F55690">
        <w:rPr>
          <w:rFonts w:cs="Calibri"/>
          <w:bCs/>
        </w:rPr>
        <w:t xml:space="preserve">   </w:t>
      </w:r>
      <w:r>
        <w:rPr>
          <w:rFonts w:cs="Calibri"/>
          <w:bCs/>
        </w:rPr>
        <w:t>Source:</w:t>
      </w:r>
      <w:r w:rsidR="0048146C">
        <w:rPr>
          <w:rFonts w:cs="Calibri"/>
          <w:bCs/>
        </w:rPr>
        <w:t xml:space="preserve">  Ministry of Finance and World Bank estimates</w:t>
      </w:r>
    </w:p>
    <w:p w:rsidR="005B28E5" w:rsidRPr="00C02F05" w:rsidRDefault="005B28E5" w:rsidP="00BF0DCD">
      <w:pPr>
        <w:spacing w:after="0" w:line="240" w:lineRule="auto"/>
        <w:contextualSpacing/>
        <w:mirrorIndents/>
        <w:jc w:val="both"/>
        <w:rPr>
          <w:rFonts w:cs="Calibri"/>
          <w:bCs/>
        </w:rPr>
      </w:pPr>
    </w:p>
    <w:p w:rsidR="00DA05F0" w:rsidRPr="00BF0DCD" w:rsidRDefault="007B4708" w:rsidP="005B28E5">
      <w:pPr>
        <w:numPr>
          <w:ilvl w:val="0"/>
          <w:numId w:val="30"/>
        </w:numPr>
        <w:tabs>
          <w:tab w:val="num" w:pos="720"/>
        </w:tabs>
        <w:spacing w:after="0" w:line="240" w:lineRule="auto"/>
        <w:ind w:left="0" w:firstLine="0"/>
        <w:contextualSpacing/>
        <w:mirrorIndents/>
        <w:jc w:val="both"/>
        <w:rPr>
          <w:rFonts w:cs="Calibri"/>
          <w:bCs/>
        </w:rPr>
      </w:pPr>
      <w:r>
        <w:rPr>
          <w:rFonts w:cs="Calibri"/>
          <w:b/>
          <w:bCs/>
          <w:sz w:val="24"/>
          <w:szCs w:val="24"/>
        </w:rPr>
        <w:t>D</w:t>
      </w:r>
      <w:r w:rsidR="005B28E5" w:rsidRPr="000E6920">
        <w:rPr>
          <w:rFonts w:cs="Calibri"/>
          <w:b/>
          <w:bCs/>
          <w:sz w:val="24"/>
          <w:szCs w:val="24"/>
        </w:rPr>
        <w:t xml:space="preserve">evelopment spending </w:t>
      </w:r>
      <w:r>
        <w:rPr>
          <w:rFonts w:cs="Calibri"/>
          <w:b/>
          <w:bCs/>
          <w:sz w:val="24"/>
          <w:szCs w:val="24"/>
        </w:rPr>
        <w:t xml:space="preserve">will continue to </w:t>
      </w:r>
      <w:r w:rsidR="00D60F30">
        <w:rPr>
          <w:rFonts w:cs="Calibri"/>
          <w:b/>
          <w:bCs/>
          <w:sz w:val="24"/>
          <w:szCs w:val="24"/>
        </w:rPr>
        <w:t>privilege</w:t>
      </w:r>
      <w:r>
        <w:rPr>
          <w:rFonts w:cs="Calibri"/>
          <w:b/>
          <w:bCs/>
          <w:sz w:val="24"/>
          <w:szCs w:val="24"/>
        </w:rPr>
        <w:t xml:space="preserve"> the purchase of consumption goods but the share of capital goods is on the rise. </w:t>
      </w:r>
      <w:r w:rsidR="005B28E5" w:rsidRPr="000E6920">
        <w:rPr>
          <w:rFonts w:cs="Calibri"/>
          <w:bCs/>
          <w:sz w:val="24"/>
          <w:szCs w:val="24"/>
        </w:rPr>
        <w:t xml:space="preserve">Driven by increased spending on energy, transport and water public investments, the share of capital spending in the </w:t>
      </w:r>
      <w:r w:rsidR="00D5678F">
        <w:rPr>
          <w:rFonts w:cs="Calibri"/>
          <w:bCs/>
          <w:sz w:val="24"/>
          <w:szCs w:val="24"/>
        </w:rPr>
        <w:t xml:space="preserve">in the </w:t>
      </w:r>
      <w:r w:rsidR="00364F66">
        <w:rPr>
          <w:rFonts w:cs="Calibri"/>
          <w:bCs/>
          <w:sz w:val="24"/>
          <w:szCs w:val="24"/>
        </w:rPr>
        <w:t xml:space="preserve">total </w:t>
      </w:r>
      <w:r w:rsidR="005B28E5" w:rsidRPr="000E6920">
        <w:rPr>
          <w:rFonts w:cs="Calibri"/>
          <w:bCs/>
          <w:sz w:val="24"/>
          <w:szCs w:val="24"/>
        </w:rPr>
        <w:t xml:space="preserve">budget is expected to </w:t>
      </w:r>
      <w:r w:rsidR="00D5678F" w:rsidRPr="000E6920">
        <w:rPr>
          <w:rFonts w:cs="Calibri"/>
          <w:bCs/>
          <w:sz w:val="24"/>
          <w:szCs w:val="24"/>
        </w:rPr>
        <w:t>r</w:t>
      </w:r>
      <w:r w:rsidR="00D5678F">
        <w:rPr>
          <w:rFonts w:cs="Calibri"/>
          <w:bCs/>
          <w:sz w:val="24"/>
          <w:szCs w:val="24"/>
        </w:rPr>
        <w:t xml:space="preserve">each </w:t>
      </w:r>
      <w:r w:rsidR="00D5678F" w:rsidRPr="000E6920">
        <w:rPr>
          <w:rFonts w:cs="Calibri"/>
          <w:bCs/>
          <w:sz w:val="24"/>
          <w:szCs w:val="24"/>
        </w:rPr>
        <w:t>21</w:t>
      </w:r>
      <w:r w:rsidR="005B28E5" w:rsidRPr="000E6920">
        <w:rPr>
          <w:rFonts w:cs="Calibri"/>
          <w:bCs/>
          <w:sz w:val="24"/>
          <w:szCs w:val="24"/>
        </w:rPr>
        <w:t xml:space="preserve"> percent, significantly higher than in 2012/13</w:t>
      </w:r>
      <w:r w:rsidR="00B64F9D">
        <w:rPr>
          <w:rFonts w:cs="Calibri"/>
          <w:bCs/>
          <w:sz w:val="24"/>
          <w:szCs w:val="24"/>
        </w:rPr>
        <w:t xml:space="preserve"> but lower than in 2011/12 approved budget</w:t>
      </w:r>
      <w:r w:rsidR="00D5678F">
        <w:rPr>
          <w:rFonts w:cs="Calibri"/>
          <w:bCs/>
          <w:sz w:val="24"/>
          <w:szCs w:val="24"/>
        </w:rPr>
        <w:t>.</w:t>
      </w:r>
      <w:r w:rsidR="005B28E5" w:rsidRPr="000E6920">
        <w:rPr>
          <w:rFonts w:cs="Calibri"/>
          <w:bCs/>
          <w:sz w:val="24"/>
          <w:szCs w:val="24"/>
        </w:rPr>
        <w:t xml:space="preserve"> </w:t>
      </w:r>
    </w:p>
    <w:p w:rsidR="005B28E5" w:rsidRPr="00DA05F0" w:rsidRDefault="005B28E5" w:rsidP="005B28E5">
      <w:pPr>
        <w:spacing w:after="0" w:line="240" w:lineRule="auto"/>
        <w:contextualSpacing/>
        <w:mirrorIndents/>
        <w:jc w:val="both"/>
        <w:rPr>
          <w:rFonts w:cs="Calibri"/>
          <w:bCs/>
        </w:rPr>
      </w:pPr>
    </w:p>
    <w:p w:rsidR="00241A9A" w:rsidRPr="000E6920" w:rsidRDefault="00636976" w:rsidP="000E6920">
      <w:pPr>
        <w:numPr>
          <w:ilvl w:val="0"/>
          <w:numId w:val="30"/>
        </w:numPr>
        <w:tabs>
          <w:tab w:val="num" w:pos="720"/>
        </w:tabs>
        <w:spacing w:after="0" w:line="240" w:lineRule="auto"/>
        <w:ind w:left="0" w:firstLine="0"/>
        <w:jc w:val="both"/>
        <w:rPr>
          <w:rFonts w:cs="Calibri"/>
          <w:bCs/>
          <w:sz w:val="24"/>
          <w:szCs w:val="24"/>
        </w:rPr>
      </w:pPr>
      <w:r w:rsidRPr="000E6920">
        <w:rPr>
          <w:b/>
          <w:i/>
          <w:sz w:val="24"/>
          <w:szCs w:val="24"/>
        </w:rPr>
        <w:t>Domestic revenue</w:t>
      </w:r>
      <w:r w:rsidRPr="000E6920">
        <w:rPr>
          <w:sz w:val="24"/>
          <w:szCs w:val="24"/>
        </w:rPr>
        <w:t xml:space="preserve">: </w:t>
      </w:r>
      <w:r w:rsidR="00E33C87" w:rsidRPr="000E6920">
        <w:rPr>
          <w:rFonts w:cs="Calibri"/>
          <w:b/>
          <w:bCs/>
          <w:sz w:val="24"/>
          <w:szCs w:val="24"/>
        </w:rPr>
        <w:t>The d</w:t>
      </w:r>
      <w:r w:rsidR="00241A9A" w:rsidRPr="000E6920">
        <w:rPr>
          <w:rFonts w:cs="Calibri"/>
          <w:b/>
          <w:bCs/>
          <w:sz w:val="24"/>
          <w:szCs w:val="24"/>
        </w:rPr>
        <w:t xml:space="preserve">omestic revenue collection target in 2013/14 is highly ambitious </w:t>
      </w:r>
      <w:r w:rsidR="0012502B" w:rsidRPr="000E6920">
        <w:rPr>
          <w:rFonts w:cs="Calibri"/>
          <w:b/>
          <w:bCs/>
          <w:sz w:val="24"/>
          <w:szCs w:val="24"/>
        </w:rPr>
        <w:t xml:space="preserve">at 20.9 percent of GDP. </w:t>
      </w:r>
      <w:r w:rsidR="0012502B" w:rsidRPr="000E6920">
        <w:rPr>
          <w:rFonts w:cs="Calibri"/>
          <w:bCs/>
          <w:sz w:val="24"/>
          <w:szCs w:val="24"/>
        </w:rPr>
        <w:t>B</w:t>
      </w:r>
      <w:r w:rsidR="00241A9A" w:rsidRPr="000E6920">
        <w:rPr>
          <w:rFonts w:cs="Calibri"/>
          <w:bCs/>
          <w:sz w:val="24"/>
          <w:szCs w:val="24"/>
        </w:rPr>
        <w:t xml:space="preserve">oth tax and </w:t>
      </w:r>
      <w:r w:rsidR="004E6696" w:rsidRPr="000E6920">
        <w:rPr>
          <w:rFonts w:cs="Calibri"/>
          <w:bCs/>
          <w:sz w:val="24"/>
          <w:szCs w:val="24"/>
        </w:rPr>
        <w:t>non-tax revenue collections are</w:t>
      </w:r>
      <w:r w:rsidR="00E33C87" w:rsidRPr="000E6920">
        <w:rPr>
          <w:rFonts w:cs="Calibri"/>
          <w:bCs/>
          <w:sz w:val="24"/>
          <w:szCs w:val="24"/>
        </w:rPr>
        <w:t xml:space="preserve"> </w:t>
      </w:r>
      <w:r w:rsidR="00241A9A" w:rsidRPr="000E6920">
        <w:rPr>
          <w:rFonts w:cs="Calibri"/>
          <w:bCs/>
          <w:sz w:val="24"/>
          <w:szCs w:val="24"/>
        </w:rPr>
        <w:t>projected to increase significantly</w:t>
      </w:r>
      <w:r w:rsidR="0012502B" w:rsidRPr="000E6920">
        <w:rPr>
          <w:rFonts w:cs="Calibri"/>
          <w:bCs/>
          <w:sz w:val="24"/>
          <w:szCs w:val="24"/>
        </w:rPr>
        <w:t xml:space="preserve"> </w:t>
      </w:r>
      <w:r w:rsidR="00241A9A" w:rsidRPr="000E6920">
        <w:rPr>
          <w:rFonts w:cs="Calibri"/>
          <w:bCs/>
          <w:sz w:val="24"/>
          <w:szCs w:val="24"/>
        </w:rPr>
        <w:t xml:space="preserve">driven by strengthened tax policy and administration measures. The Government </w:t>
      </w:r>
      <w:r w:rsidR="0012502B" w:rsidRPr="000E6920">
        <w:rPr>
          <w:rFonts w:cs="Calibri"/>
          <w:bCs/>
          <w:sz w:val="24"/>
          <w:szCs w:val="24"/>
        </w:rPr>
        <w:t xml:space="preserve">is </w:t>
      </w:r>
      <w:r w:rsidR="0053118E">
        <w:rPr>
          <w:rFonts w:cs="Calibri"/>
          <w:bCs/>
          <w:sz w:val="24"/>
          <w:szCs w:val="24"/>
        </w:rPr>
        <w:t xml:space="preserve">implementing some of the </w:t>
      </w:r>
      <w:r w:rsidR="00241A9A" w:rsidRPr="000E6920">
        <w:rPr>
          <w:rFonts w:cs="Calibri"/>
          <w:bCs/>
          <w:sz w:val="24"/>
          <w:szCs w:val="24"/>
        </w:rPr>
        <w:t>recommendations f</w:t>
      </w:r>
      <w:r w:rsidR="0053118E">
        <w:rPr>
          <w:rFonts w:cs="Calibri"/>
          <w:bCs/>
          <w:sz w:val="24"/>
          <w:szCs w:val="24"/>
        </w:rPr>
        <w:t xml:space="preserve">rom </w:t>
      </w:r>
      <w:r w:rsidR="00241A9A" w:rsidRPr="000E6920">
        <w:rPr>
          <w:rFonts w:cs="Calibri"/>
          <w:bCs/>
          <w:sz w:val="24"/>
          <w:szCs w:val="24"/>
        </w:rPr>
        <w:t xml:space="preserve">the Resource Mobilization Lab under the BRN aimed at increasing revenue collections from both tax and non-tax sources. These recommendations include auctioning forestry and hunting blocks together with better assessment and collection of land and property taxes. The Government </w:t>
      </w:r>
      <w:r w:rsidR="0012502B" w:rsidRPr="000E6920">
        <w:rPr>
          <w:rFonts w:cs="Calibri"/>
          <w:bCs/>
          <w:sz w:val="24"/>
          <w:szCs w:val="24"/>
        </w:rPr>
        <w:t xml:space="preserve">has also </w:t>
      </w:r>
      <w:r w:rsidR="00241A9A" w:rsidRPr="000E6920">
        <w:rPr>
          <w:rFonts w:cs="Calibri"/>
          <w:bCs/>
          <w:sz w:val="24"/>
          <w:szCs w:val="24"/>
        </w:rPr>
        <w:t>introduce</w:t>
      </w:r>
      <w:r w:rsidR="0012502B" w:rsidRPr="000E6920">
        <w:rPr>
          <w:rFonts w:cs="Calibri"/>
          <w:bCs/>
          <w:sz w:val="24"/>
          <w:szCs w:val="24"/>
        </w:rPr>
        <w:t>d</w:t>
      </w:r>
      <w:r w:rsidR="00241A9A" w:rsidRPr="000E6920">
        <w:rPr>
          <w:rFonts w:cs="Calibri"/>
          <w:bCs/>
          <w:sz w:val="24"/>
          <w:szCs w:val="24"/>
        </w:rPr>
        <w:t xml:space="preserve"> some new taxes and raise</w:t>
      </w:r>
      <w:r w:rsidR="0012502B" w:rsidRPr="000E6920">
        <w:rPr>
          <w:rFonts w:cs="Calibri"/>
          <w:bCs/>
          <w:sz w:val="24"/>
          <w:szCs w:val="24"/>
        </w:rPr>
        <w:t>d</w:t>
      </w:r>
      <w:r w:rsidR="00241A9A" w:rsidRPr="000E6920">
        <w:rPr>
          <w:rFonts w:cs="Calibri"/>
          <w:bCs/>
          <w:sz w:val="24"/>
          <w:szCs w:val="24"/>
        </w:rPr>
        <w:t xml:space="preserve"> rates applicable to existing excise taxes, and </w:t>
      </w:r>
      <w:r w:rsidR="0012502B" w:rsidRPr="000E6920">
        <w:rPr>
          <w:rFonts w:cs="Calibri"/>
          <w:bCs/>
          <w:sz w:val="24"/>
          <w:szCs w:val="24"/>
        </w:rPr>
        <w:t xml:space="preserve">continues to </w:t>
      </w:r>
      <w:r w:rsidR="00241A9A" w:rsidRPr="000E6920">
        <w:rPr>
          <w:rFonts w:cs="Calibri"/>
          <w:bCs/>
          <w:sz w:val="24"/>
          <w:szCs w:val="24"/>
        </w:rPr>
        <w:t>reduce tax exemptions especially those associated with VAT. Moreover, the Government continue</w:t>
      </w:r>
      <w:r w:rsidR="0012502B" w:rsidRPr="000E6920">
        <w:rPr>
          <w:rFonts w:cs="Calibri"/>
          <w:bCs/>
          <w:sz w:val="24"/>
          <w:szCs w:val="24"/>
        </w:rPr>
        <w:t>s</w:t>
      </w:r>
      <w:r w:rsidR="00241A9A" w:rsidRPr="000E6920">
        <w:rPr>
          <w:rFonts w:cs="Calibri"/>
          <w:bCs/>
          <w:sz w:val="24"/>
          <w:szCs w:val="24"/>
        </w:rPr>
        <w:t xml:space="preserve"> to strengthen</w:t>
      </w:r>
      <w:r w:rsidR="0012502B" w:rsidRPr="000E6920">
        <w:rPr>
          <w:rFonts w:cs="Calibri"/>
          <w:bCs/>
          <w:sz w:val="24"/>
          <w:szCs w:val="24"/>
        </w:rPr>
        <w:t>ing</w:t>
      </w:r>
      <w:r w:rsidR="00241A9A" w:rsidRPr="000E6920">
        <w:rPr>
          <w:rFonts w:cs="Calibri"/>
          <w:bCs/>
          <w:sz w:val="24"/>
          <w:szCs w:val="24"/>
        </w:rPr>
        <w:t xml:space="preserve"> tax administration through training and </w:t>
      </w:r>
      <w:r w:rsidR="00E33C87" w:rsidRPr="000E6920">
        <w:rPr>
          <w:rFonts w:cs="Calibri"/>
          <w:bCs/>
          <w:sz w:val="24"/>
          <w:szCs w:val="24"/>
        </w:rPr>
        <w:t xml:space="preserve">the </w:t>
      </w:r>
      <w:r w:rsidR="00241A9A" w:rsidRPr="000E6920">
        <w:rPr>
          <w:rFonts w:cs="Calibri"/>
          <w:bCs/>
          <w:sz w:val="24"/>
          <w:szCs w:val="24"/>
        </w:rPr>
        <w:t>use of technology in assessing and collecting taxes by TRA</w:t>
      </w:r>
      <w:r w:rsidR="0012502B" w:rsidRPr="000E6920">
        <w:rPr>
          <w:rFonts w:cs="Calibri"/>
          <w:bCs/>
          <w:sz w:val="24"/>
          <w:szCs w:val="24"/>
        </w:rPr>
        <w:t xml:space="preserve">, including </w:t>
      </w:r>
      <w:r w:rsidR="00241A9A" w:rsidRPr="000E6920">
        <w:rPr>
          <w:rFonts w:cs="Calibri"/>
          <w:bCs/>
          <w:sz w:val="24"/>
          <w:szCs w:val="24"/>
        </w:rPr>
        <w:t>use of</w:t>
      </w:r>
      <w:r w:rsidR="0012502B" w:rsidRPr="000E6920">
        <w:rPr>
          <w:rFonts w:cs="Calibri"/>
          <w:bCs/>
          <w:sz w:val="24"/>
          <w:szCs w:val="24"/>
        </w:rPr>
        <w:t xml:space="preserve"> </w:t>
      </w:r>
      <w:r w:rsidR="00E33C87" w:rsidRPr="000E6920">
        <w:rPr>
          <w:rFonts w:cs="Calibri"/>
          <w:bCs/>
          <w:sz w:val="24"/>
          <w:szCs w:val="24"/>
        </w:rPr>
        <w:t xml:space="preserve">the </w:t>
      </w:r>
      <w:r w:rsidR="00241A9A" w:rsidRPr="000E6920">
        <w:rPr>
          <w:rFonts w:cs="Calibri"/>
          <w:bCs/>
          <w:sz w:val="24"/>
          <w:szCs w:val="24"/>
        </w:rPr>
        <w:t xml:space="preserve">EFDs and establishment of Revenue Gateway </w:t>
      </w:r>
      <w:r w:rsidR="0012502B" w:rsidRPr="000E6920">
        <w:rPr>
          <w:rFonts w:cs="Calibri"/>
          <w:bCs/>
          <w:sz w:val="24"/>
          <w:szCs w:val="24"/>
        </w:rPr>
        <w:t>in July 2013.</w:t>
      </w:r>
      <w:r w:rsidR="00241A9A" w:rsidRPr="000E6920">
        <w:rPr>
          <w:rFonts w:cs="Calibri"/>
          <w:b/>
          <w:bCs/>
          <w:sz w:val="24"/>
          <w:szCs w:val="24"/>
        </w:rPr>
        <w:t xml:space="preserve"> </w:t>
      </w:r>
    </w:p>
    <w:p w:rsidR="005C45D1" w:rsidRPr="000E6920" w:rsidRDefault="005C45D1" w:rsidP="000E6920">
      <w:pPr>
        <w:spacing w:after="0" w:line="240" w:lineRule="auto"/>
        <w:contextualSpacing/>
        <w:mirrorIndents/>
        <w:jc w:val="both"/>
        <w:rPr>
          <w:sz w:val="24"/>
          <w:szCs w:val="24"/>
        </w:rPr>
      </w:pPr>
    </w:p>
    <w:p w:rsidR="00241A9A" w:rsidRPr="000E6920" w:rsidRDefault="00241A9A" w:rsidP="000E6920">
      <w:pPr>
        <w:numPr>
          <w:ilvl w:val="0"/>
          <w:numId w:val="30"/>
        </w:numPr>
        <w:tabs>
          <w:tab w:val="num" w:pos="720"/>
        </w:tabs>
        <w:spacing w:after="0" w:line="240" w:lineRule="auto"/>
        <w:ind w:left="0" w:firstLine="0"/>
        <w:jc w:val="both"/>
        <w:rPr>
          <w:sz w:val="24"/>
          <w:szCs w:val="24"/>
        </w:rPr>
      </w:pPr>
      <w:r w:rsidRPr="000E6920">
        <w:rPr>
          <w:rFonts w:cs="Calibri"/>
          <w:b/>
          <w:bCs/>
          <w:sz w:val="24"/>
          <w:szCs w:val="24"/>
        </w:rPr>
        <w:t xml:space="preserve">Projected increase in domestic </w:t>
      </w:r>
      <w:r w:rsidR="00E33C87" w:rsidRPr="000E6920">
        <w:rPr>
          <w:rFonts w:cs="Calibri"/>
          <w:b/>
          <w:bCs/>
          <w:sz w:val="24"/>
          <w:szCs w:val="24"/>
        </w:rPr>
        <w:t xml:space="preserve">revenue </w:t>
      </w:r>
      <w:r w:rsidRPr="000E6920">
        <w:rPr>
          <w:rFonts w:cs="Calibri"/>
          <w:b/>
          <w:bCs/>
          <w:sz w:val="24"/>
          <w:szCs w:val="24"/>
        </w:rPr>
        <w:t>collection is supported</w:t>
      </w:r>
      <w:r w:rsidR="0031743E" w:rsidRPr="000E6920">
        <w:rPr>
          <w:rFonts w:cs="Calibri"/>
          <w:b/>
          <w:bCs/>
          <w:sz w:val="24"/>
          <w:szCs w:val="24"/>
        </w:rPr>
        <w:t xml:space="preserve"> by</w:t>
      </w:r>
      <w:r w:rsidRPr="000E6920">
        <w:rPr>
          <w:rFonts w:cs="Calibri"/>
          <w:b/>
          <w:bCs/>
          <w:sz w:val="24"/>
          <w:szCs w:val="24"/>
        </w:rPr>
        <w:t xml:space="preserve"> tax policy measures</w:t>
      </w:r>
      <w:r w:rsidR="007B4708">
        <w:rPr>
          <w:rFonts w:cs="Calibri"/>
          <w:b/>
          <w:bCs/>
          <w:sz w:val="24"/>
          <w:szCs w:val="24"/>
        </w:rPr>
        <w:t xml:space="preserve"> but</w:t>
      </w:r>
      <w:r w:rsidR="003C5917" w:rsidRPr="000E6920">
        <w:rPr>
          <w:rFonts w:cs="Calibri"/>
          <w:b/>
          <w:bCs/>
          <w:sz w:val="24"/>
          <w:szCs w:val="24"/>
        </w:rPr>
        <w:t xml:space="preserve"> some have proved difficult to implement.</w:t>
      </w:r>
      <w:r w:rsidRPr="000E6920">
        <w:rPr>
          <w:rFonts w:cs="Calibri"/>
          <w:bCs/>
          <w:sz w:val="24"/>
          <w:szCs w:val="24"/>
        </w:rPr>
        <w:t xml:space="preserve"> </w:t>
      </w:r>
      <w:r w:rsidR="0053118E" w:rsidRPr="000E6920">
        <w:rPr>
          <w:rFonts w:cs="Calibri"/>
          <w:bCs/>
          <w:sz w:val="24"/>
          <w:szCs w:val="24"/>
        </w:rPr>
        <w:t>Taxes on the SIM card and the bank transfer have</w:t>
      </w:r>
      <w:r w:rsidR="0053118E">
        <w:rPr>
          <w:rFonts w:cs="Calibri"/>
          <w:bCs/>
          <w:sz w:val="24"/>
          <w:szCs w:val="24"/>
        </w:rPr>
        <w:t xml:space="preserve"> not been implemented pending the ruling of the </w:t>
      </w:r>
      <w:r w:rsidR="00F22EE7" w:rsidRPr="000E6920">
        <w:rPr>
          <w:rFonts w:cs="Calibri"/>
          <w:bCs/>
          <w:sz w:val="24"/>
          <w:szCs w:val="24"/>
        </w:rPr>
        <w:t>court case</w:t>
      </w:r>
      <w:r w:rsidR="0053118E">
        <w:rPr>
          <w:rFonts w:cs="Calibri"/>
          <w:bCs/>
          <w:sz w:val="24"/>
          <w:szCs w:val="24"/>
        </w:rPr>
        <w:t>.</w:t>
      </w:r>
      <w:r w:rsidR="00F22EE7" w:rsidRPr="000E6920">
        <w:rPr>
          <w:rFonts w:cs="Calibri"/>
          <w:bCs/>
          <w:sz w:val="24"/>
          <w:szCs w:val="24"/>
        </w:rPr>
        <w:t xml:space="preserve">  In addition, the proposed increase in fuel level was not fully approved by the</w:t>
      </w:r>
      <w:r w:rsidR="000F09CE">
        <w:rPr>
          <w:rFonts w:cs="Calibri"/>
          <w:bCs/>
          <w:sz w:val="24"/>
          <w:szCs w:val="24"/>
        </w:rPr>
        <w:t xml:space="preserve"> Parliament</w:t>
      </w:r>
      <w:r w:rsidR="00F22EE7" w:rsidRPr="000E6920">
        <w:rPr>
          <w:rFonts w:cs="Calibri"/>
          <w:bCs/>
          <w:sz w:val="24"/>
          <w:szCs w:val="24"/>
        </w:rPr>
        <w:t xml:space="preserve">. </w:t>
      </w:r>
      <w:r w:rsidR="006137F3" w:rsidRPr="000E6920">
        <w:rPr>
          <w:rFonts w:cs="Calibri"/>
          <w:bCs/>
          <w:sz w:val="24"/>
          <w:szCs w:val="24"/>
        </w:rPr>
        <w:t xml:space="preserve">As </w:t>
      </w:r>
      <w:r w:rsidR="006137F3">
        <w:rPr>
          <w:rFonts w:cs="Calibri"/>
          <w:bCs/>
          <w:sz w:val="24"/>
          <w:szCs w:val="24"/>
        </w:rPr>
        <w:t>a</w:t>
      </w:r>
      <w:r w:rsidR="007B4708">
        <w:rPr>
          <w:rFonts w:cs="Calibri"/>
          <w:bCs/>
          <w:sz w:val="24"/>
          <w:szCs w:val="24"/>
        </w:rPr>
        <w:t xml:space="preserve"> </w:t>
      </w:r>
      <w:r w:rsidR="00F22EE7" w:rsidRPr="000E6920">
        <w:rPr>
          <w:rFonts w:cs="Calibri"/>
          <w:bCs/>
          <w:sz w:val="24"/>
          <w:szCs w:val="24"/>
        </w:rPr>
        <w:t xml:space="preserve">result significant short falls in domestic revenue collections </w:t>
      </w:r>
      <w:r w:rsidR="002367E6">
        <w:rPr>
          <w:rFonts w:cs="Calibri"/>
          <w:bCs/>
          <w:sz w:val="24"/>
          <w:szCs w:val="24"/>
        </w:rPr>
        <w:t>were observed during the first quarter of 2013/14 (almost 10 percent lower than targets).</w:t>
      </w:r>
      <w:r w:rsidR="007749DD" w:rsidRPr="000E6920">
        <w:rPr>
          <w:rFonts w:cs="Calibri"/>
          <w:bCs/>
          <w:sz w:val="24"/>
          <w:szCs w:val="24"/>
        </w:rPr>
        <w:t xml:space="preserve"> </w:t>
      </w:r>
      <w:r w:rsidR="000F09CE">
        <w:rPr>
          <w:rFonts w:cs="Calibri"/>
          <w:bCs/>
          <w:sz w:val="24"/>
          <w:szCs w:val="24"/>
        </w:rPr>
        <w:t>The carry-over of the revenue shortfall from 2012/13 also partly explaining the shortfall observed during the first quarter of 2013/14.</w:t>
      </w:r>
    </w:p>
    <w:p w:rsidR="004E6696" w:rsidRPr="000E6920" w:rsidRDefault="004E6696" w:rsidP="000E6920">
      <w:pPr>
        <w:spacing w:after="0" w:line="240" w:lineRule="auto"/>
        <w:jc w:val="both"/>
        <w:rPr>
          <w:sz w:val="24"/>
          <w:szCs w:val="24"/>
        </w:rPr>
      </w:pPr>
    </w:p>
    <w:p w:rsidR="005C45D1" w:rsidRPr="000E6920" w:rsidRDefault="00636976" w:rsidP="006E2175">
      <w:pPr>
        <w:numPr>
          <w:ilvl w:val="0"/>
          <w:numId w:val="30"/>
        </w:numPr>
        <w:tabs>
          <w:tab w:val="num" w:pos="720"/>
        </w:tabs>
        <w:spacing w:after="0" w:line="240" w:lineRule="auto"/>
        <w:ind w:left="0" w:firstLine="0"/>
        <w:jc w:val="both"/>
        <w:rPr>
          <w:rFonts w:cs="Calibri"/>
          <w:bCs/>
          <w:sz w:val="24"/>
          <w:szCs w:val="24"/>
        </w:rPr>
      </w:pPr>
      <w:r w:rsidRPr="000E6920">
        <w:rPr>
          <w:b/>
          <w:i/>
          <w:sz w:val="24"/>
          <w:szCs w:val="24"/>
        </w:rPr>
        <w:t>Aid and financing</w:t>
      </w:r>
      <w:r w:rsidRPr="000E6920">
        <w:rPr>
          <w:sz w:val="24"/>
          <w:szCs w:val="24"/>
        </w:rPr>
        <w:t xml:space="preserve">: </w:t>
      </w:r>
      <w:r w:rsidR="006867FA" w:rsidRPr="000E6920">
        <w:rPr>
          <w:rFonts w:cs="Calibri"/>
          <w:b/>
          <w:bCs/>
          <w:sz w:val="24"/>
          <w:szCs w:val="24"/>
        </w:rPr>
        <w:t xml:space="preserve">Grants, </w:t>
      </w:r>
      <w:r w:rsidR="00241A9A" w:rsidRPr="000E6920">
        <w:rPr>
          <w:rFonts w:cs="Calibri"/>
          <w:b/>
          <w:bCs/>
          <w:sz w:val="24"/>
          <w:szCs w:val="24"/>
        </w:rPr>
        <w:t xml:space="preserve">concessional and non-concessional </w:t>
      </w:r>
      <w:r w:rsidR="006867FA" w:rsidRPr="000E6920">
        <w:rPr>
          <w:rFonts w:cs="Calibri"/>
          <w:b/>
          <w:bCs/>
          <w:sz w:val="24"/>
          <w:szCs w:val="24"/>
        </w:rPr>
        <w:t xml:space="preserve">loans </w:t>
      </w:r>
      <w:r w:rsidR="00241A9A" w:rsidRPr="000E6920">
        <w:rPr>
          <w:rFonts w:cs="Calibri"/>
          <w:b/>
          <w:bCs/>
          <w:sz w:val="24"/>
          <w:szCs w:val="24"/>
        </w:rPr>
        <w:t>from both external and domestic sources</w:t>
      </w:r>
      <w:r w:rsidR="006867FA" w:rsidRPr="000E6920">
        <w:rPr>
          <w:rFonts w:cs="Calibri"/>
          <w:b/>
          <w:bCs/>
          <w:sz w:val="24"/>
          <w:szCs w:val="24"/>
        </w:rPr>
        <w:t xml:space="preserve"> are projected to reach 10.7 percent of GDP</w:t>
      </w:r>
      <w:r w:rsidR="00B93A39" w:rsidRPr="000E6920">
        <w:rPr>
          <w:rFonts w:cs="Calibri"/>
          <w:b/>
          <w:bCs/>
          <w:sz w:val="24"/>
          <w:szCs w:val="24"/>
        </w:rPr>
        <w:t xml:space="preserve"> in 2013/14</w:t>
      </w:r>
      <w:r w:rsidR="00241A9A" w:rsidRPr="000E6920">
        <w:rPr>
          <w:rFonts w:cs="Calibri"/>
          <w:bCs/>
          <w:sz w:val="24"/>
          <w:szCs w:val="24"/>
        </w:rPr>
        <w:t xml:space="preserve">. The </w:t>
      </w:r>
      <w:r w:rsidR="00241A9A" w:rsidRPr="000E6920">
        <w:rPr>
          <w:rFonts w:cs="Calibri"/>
          <w:bCs/>
          <w:sz w:val="24"/>
          <w:szCs w:val="24"/>
        </w:rPr>
        <w:lastRenderedPageBreak/>
        <w:t xml:space="preserve">Government </w:t>
      </w:r>
      <w:r w:rsidR="006867FA" w:rsidRPr="000E6920">
        <w:rPr>
          <w:rFonts w:cs="Calibri"/>
          <w:bCs/>
          <w:sz w:val="24"/>
          <w:szCs w:val="24"/>
        </w:rPr>
        <w:t xml:space="preserve">expects </w:t>
      </w:r>
      <w:r w:rsidR="00DB4F3D" w:rsidRPr="000E6920">
        <w:rPr>
          <w:rFonts w:cs="Calibri"/>
          <w:bCs/>
          <w:sz w:val="24"/>
          <w:szCs w:val="24"/>
        </w:rPr>
        <w:t xml:space="preserve">to </w:t>
      </w:r>
      <w:r w:rsidR="00241A9A" w:rsidRPr="000E6920">
        <w:rPr>
          <w:rFonts w:cs="Calibri"/>
          <w:bCs/>
          <w:sz w:val="24"/>
          <w:szCs w:val="24"/>
        </w:rPr>
        <w:t>borrow Tsh</w:t>
      </w:r>
      <w:r w:rsidR="00E53005">
        <w:rPr>
          <w:rFonts w:cs="Calibri"/>
          <w:bCs/>
          <w:sz w:val="24"/>
          <w:szCs w:val="24"/>
        </w:rPr>
        <w:t>.</w:t>
      </w:r>
      <w:r w:rsidR="00241A9A" w:rsidRPr="000E6920">
        <w:rPr>
          <w:rFonts w:cs="Calibri"/>
          <w:bCs/>
          <w:sz w:val="24"/>
          <w:szCs w:val="24"/>
        </w:rPr>
        <w:t xml:space="preserve"> 1,</w:t>
      </w:r>
      <w:r w:rsidR="00E53005">
        <w:rPr>
          <w:rFonts w:cs="Calibri"/>
          <w:bCs/>
          <w:sz w:val="24"/>
          <w:szCs w:val="24"/>
        </w:rPr>
        <w:t>469</w:t>
      </w:r>
      <w:r w:rsidR="00241A9A" w:rsidRPr="000E6920">
        <w:rPr>
          <w:rFonts w:cs="Calibri"/>
          <w:bCs/>
          <w:sz w:val="24"/>
          <w:szCs w:val="24"/>
        </w:rPr>
        <w:t xml:space="preserve"> billion</w:t>
      </w:r>
      <w:r w:rsidR="006867FA" w:rsidRPr="000E6920">
        <w:rPr>
          <w:rFonts w:cs="Calibri"/>
          <w:bCs/>
          <w:sz w:val="24"/>
          <w:szCs w:val="24"/>
        </w:rPr>
        <w:t xml:space="preserve"> (</w:t>
      </w:r>
      <w:r w:rsidR="00241A9A" w:rsidRPr="000E6920">
        <w:rPr>
          <w:rFonts w:cs="Calibri"/>
          <w:bCs/>
          <w:sz w:val="24"/>
          <w:szCs w:val="24"/>
        </w:rPr>
        <w:t xml:space="preserve">equivalent to </w:t>
      </w:r>
      <w:r w:rsidR="00E53005">
        <w:rPr>
          <w:rFonts w:cs="Calibri"/>
          <w:bCs/>
          <w:sz w:val="24"/>
          <w:szCs w:val="24"/>
        </w:rPr>
        <w:t>2.6</w:t>
      </w:r>
      <w:r w:rsidR="00241A9A" w:rsidRPr="000E6920">
        <w:rPr>
          <w:rFonts w:cs="Calibri"/>
          <w:bCs/>
          <w:sz w:val="24"/>
          <w:szCs w:val="24"/>
        </w:rPr>
        <w:t xml:space="preserve"> percent of GDP</w:t>
      </w:r>
      <w:r w:rsidR="006867FA" w:rsidRPr="000E6920">
        <w:rPr>
          <w:rFonts w:cs="Calibri"/>
          <w:bCs/>
          <w:sz w:val="24"/>
          <w:szCs w:val="24"/>
        </w:rPr>
        <w:t>)</w:t>
      </w:r>
      <w:r w:rsidR="00546A71" w:rsidRPr="000E6920">
        <w:rPr>
          <w:rFonts w:cs="Calibri"/>
          <w:bCs/>
          <w:sz w:val="24"/>
          <w:szCs w:val="24"/>
        </w:rPr>
        <w:t xml:space="preserve"> on concessional terms and </w:t>
      </w:r>
      <w:proofErr w:type="gramStart"/>
      <w:r w:rsidR="00546A71" w:rsidRPr="000E6920">
        <w:rPr>
          <w:rFonts w:cs="Calibri"/>
          <w:bCs/>
          <w:sz w:val="24"/>
          <w:szCs w:val="24"/>
        </w:rPr>
        <w:t>Tsh</w:t>
      </w:r>
      <w:proofErr w:type="gramEnd"/>
      <w:r w:rsidR="00546A71" w:rsidRPr="000E6920">
        <w:rPr>
          <w:rFonts w:cs="Calibri"/>
          <w:bCs/>
          <w:sz w:val="24"/>
          <w:szCs w:val="24"/>
        </w:rPr>
        <w:t xml:space="preserve"> 1,156 billion (equivalent to 2.1 percent of GDP</w:t>
      </w:r>
      <w:r w:rsidR="00DB4F3D" w:rsidRPr="000E6920">
        <w:rPr>
          <w:rFonts w:cs="Calibri"/>
          <w:bCs/>
          <w:sz w:val="24"/>
          <w:szCs w:val="24"/>
        </w:rPr>
        <w:t>) on non-concessional terms</w:t>
      </w:r>
      <w:r w:rsidR="006867FA" w:rsidRPr="000E6920">
        <w:rPr>
          <w:rFonts w:cs="Calibri"/>
          <w:bCs/>
          <w:sz w:val="24"/>
          <w:szCs w:val="24"/>
        </w:rPr>
        <w:t xml:space="preserve"> from external sources</w:t>
      </w:r>
      <w:r w:rsidR="00DB4F3D" w:rsidRPr="000E6920">
        <w:rPr>
          <w:rFonts w:cs="Calibri"/>
          <w:bCs/>
          <w:sz w:val="24"/>
          <w:szCs w:val="24"/>
        </w:rPr>
        <w:t xml:space="preserve">. Moreover, </w:t>
      </w:r>
      <w:r w:rsidR="00241A9A" w:rsidRPr="000E6920">
        <w:rPr>
          <w:rFonts w:cs="Calibri"/>
          <w:bCs/>
          <w:sz w:val="24"/>
          <w:szCs w:val="24"/>
        </w:rPr>
        <w:t>Tsh 552</w:t>
      </w:r>
      <w:r w:rsidR="007749DD" w:rsidRPr="000E6920">
        <w:rPr>
          <w:rFonts w:cs="Calibri"/>
          <w:bCs/>
          <w:sz w:val="24"/>
          <w:szCs w:val="24"/>
        </w:rPr>
        <w:t xml:space="preserve"> bi</w:t>
      </w:r>
      <w:r w:rsidR="004E6696" w:rsidRPr="000E6920">
        <w:rPr>
          <w:rFonts w:cs="Calibri"/>
          <w:bCs/>
          <w:sz w:val="24"/>
          <w:szCs w:val="24"/>
        </w:rPr>
        <w:t>l</w:t>
      </w:r>
      <w:r w:rsidR="007749DD" w:rsidRPr="000E6920">
        <w:rPr>
          <w:rFonts w:cs="Calibri"/>
          <w:bCs/>
          <w:sz w:val="24"/>
          <w:szCs w:val="24"/>
        </w:rPr>
        <w:t>lion</w:t>
      </w:r>
      <w:r w:rsidR="00241A9A" w:rsidRPr="000E6920">
        <w:rPr>
          <w:rFonts w:cs="Calibri"/>
          <w:bCs/>
          <w:sz w:val="24"/>
          <w:szCs w:val="24"/>
        </w:rPr>
        <w:t xml:space="preserve">, equivalent to 1.0 percent of GDP, </w:t>
      </w:r>
      <w:r w:rsidR="00DB4F3D" w:rsidRPr="000E6920">
        <w:rPr>
          <w:rFonts w:cs="Calibri"/>
          <w:bCs/>
          <w:sz w:val="24"/>
          <w:szCs w:val="24"/>
        </w:rPr>
        <w:t xml:space="preserve">is expected to be borrowed from </w:t>
      </w:r>
      <w:r w:rsidR="00241A9A" w:rsidRPr="000E6920">
        <w:rPr>
          <w:rFonts w:cs="Calibri"/>
          <w:bCs/>
          <w:sz w:val="24"/>
          <w:szCs w:val="24"/>
        </w:rPr>
        <w:t xml:space="preserve">domestic sources. The non-concessional borrowing targets are consistent with the IMF Standby Credit Facility (SCF) and all these funds will be directed into infrastructure investment projects, especially in energy and roads.  </w:t>
      </w:r>
    </w:p>
    <w:p w:rsidR="005C45D1" w:rsidRPr="000E6920" w:rsidRDefault="005C45D1" w:rsidP="006E2175">
      <w:pPr>
        <w:spacing w:after="0" w:line="240" w:lineRule="auto"/>
        <w:contextualSpacing/>
        <w:mirrorIndents/>
        <w:jc w:val="both"/>
        <w:rPr>
          <w:rFonts w:cs="Calibri"/>
          <w:sz w:val="24"/>
          <w:szCs w:val="24"/>
        </w:rPr>
      </w:pPr>
    </w:p>
    <w:p w:rsidR="00241A9A" w:rsidRPr="000E6920" w:rsidRDefault="00636976" w:rsidP="006E2175">
      <w:pPr>
        <w:numPr>
          <w:ilvl w:val="0"/>
          <w:numId w:val="30"/>
        </w:numPr>
        <w:tabs>
          <w:tab w:val="num" w:pos="720"/>
        </w:tabs>
        <w:spacing w:after="0" w:line="240" w:lineRule="auto"/>
        <w:ind w:left="0" w:firstLine="0"/>
        <w:contextualSpacing/>
        <w:mirrorIndents/>
        <w:jc w:val="both"/>
        <w:rPr>
          <w:rFonts w:cs="Calibri"/>
          <w:sz w:val="24"/>
          <w:szCs w:val="24"/>
        </w:rPr>
      </w:pPr>
      <w:r w:rsidRPr="000E6920">
        <w:rPr>
          <w:rFonts w:cs="Times New Roman"/>
          <w:b/>
          <w:i/>
          <w:sz w:val="24"/>
          <w:szCs w:val="24"/>
        </w:rPr>
        <w:t>Public debt</w:t>
      </w:r>
      <w:r w:rsidR="005445CC">
        <w:rPr>
          <w:rFonts w:cs="Times New Roman"/>
          <w:b/>
          <w:i/>
          <w:sz w:val="24"/>
          <w:szCs w:val="24"/>
        </w:rPr>
        <w:t xml:space="preserve"> and debt service</w:t>
      </w:r>
      <w:r w:rsidRPr="000E6920">
        <w:rPr>
          <w:rFonts w:cs="Times New Roman"/>
          <w:b/>
          <w:sz w:val="24"/>
          <w:szCs w:val="24"/>
        </w:rPr>
        <w:t xml:space="preserve">: </w:t>
      </w:r>
      <w:r w:rsidR="00241A9A" w:rsidRPr="000E6920">
        <w:rPr>
          <w:rFonts w:cs="Calibri"/>
          <w:b/>
          <w:sz w:val="24"/>
          <w:szCs w:val="24"/>
        </w:rPr>
        <w:t>T</w:t>
      </w:r>
      <w:r w:rsidR="002367E6">
        <w:rPr>
          <w:rFonts w:cs="Calibri"/>
          <w:b/>
          <w:sz w:val="24"/>
          <w:szCs w:val="24"/>
        </w:rPr>
        <w:t xml:space="preserve">otal public </w:t>
      </w:r>
      <w:r w:rsidR="00241A9A" w:rsidRPr="000E6920">
        <w:rPr>
          <w:rFonts w:cs="Calibri"/>
          <w:b/>
          <w:sz w:val="24"/>
          <w:szCs w:val="24"/>
        </w:rPr>
        <w:t xml:space="preserve">debt </w:t>
      </w:r>
      <w:r w:rsidR="005445CC">
        <w:rPr>
          <w:rFonts w:cs="Calibri"/>
          <w:b/>
          <w:sz w:val="24"/>
          <w:szCs w:val="24"/>
        </w:rPr>
        <w:t xml:space="preserve">and debt service </w:t>
      </w:r>
      <w:r w:rsidR="00241A9A" w:rsidRPr="000E6920">
        <w:rPr>
          <w:rFonts w:cs="Calibri"/>
          <w:b/>
          <w:sz w:val="24"/>
          <w:szCs w:val="24"/>
        </w:rPr>
        <w:t>ha</w:t>
      </w:r>
      <w:r w:rsidR="005445CC">
        <w:rPr>
          <w:rFonts w:cs="Calibri"/>
          <w:b/>
          <w:sz w:val="24"/>
          <w:szCs w:val="24"/>
        </w:rPr>
        <w:t>ve</w:t>
      </w:r>
      <w:r w:rsidR="00241A9A" w:rsidRPr="000E6920">
        <w:rPr>
          <w:rFonts w:cs="Calibri"/>
          <w:b/>
          <w:sz w:val="24"/>
          <w:szCs w:val="24"/>
        </w:rPr>
        <w:t xml:space="preserve"> been growing fast and</w:t>
      </w:r>
      <w:r w:rsidR="00E33C87" w:rsidRPr="000E6920">
        <w:rPr>
          <w:rFonts w:cs="Calibri"/>
          <w:b/>
          <w:sz w:val="24"/>
          <w:szCs w:val="24"/>
        </w:rPr>
        <w:t xml:space="preserve"> </w:t>
      </w:r>
      <w:r w:rsidR="005445CC">
        <w:rPr>
          <w:rFonts w:cs="Calibri"/>
          <w:b/>
          <w:sz w:val="24"/>
          <w:szCs w:val="24"/>
        </w:rPr>
        <w:t>are</w:t>
      </w:r>
      <w:r w:rsidR="00241A9A" w:rsidRPr="000E6920">
        <w:rPr>
          <w:rFonts w:cs="Calibri"/>
          <w:b/>
          <w:sz w:val="24"/>
          <w:szCs w:val="24"/>
        </w:rPr>
        <w:t xml:space="preserve"> set to grow further owing to increased non-concessional borrowing</w:t>
      </w:r>
      <w:r w:rsidR="00241A9A" w:rsidRPr="000E6920">
        <w:rPr>
          <w:rFonts w:cs="Calibri"/>
          <w:sz w:val="24"/>
          <w:szCs w:val="24"/>
        </w:rPr>
        <w:t xml:space="preserve">. </w:t>
      </w:r>
      <w:r w:rsidR="005445CC">
        <w:rPr>
          <w:rFonts w:cs="Calibri"/>
          <w:sz w:val="24"/>
          <w:szCs w:val="24"/>
        </w:rPr>
        <w:t xml:space="preserve">Total debt was equivalent </w:t>
      </w:r>
      <w:r w:rsidR="00F80F3C">
        <w:rPr>
          <w:rFonts w:cs="Calibri"/>
          <w:sz w:val="24"/>
          <w:szCs w:val="24"/>
        </w:rPr>
        <w:t xml:space="preserve">to </w:t>
      </w:r>
      <w:r w:rsidR="00F80F3C" w:rsidRPr="000E6920">
        <w:rPr>
          <w:rFonts w:cs="Calibri"/>
          <w:sz w:val="24"/>
          <w:szCs w:val="24"/>
        </w:rPr>
        <w:t>43</w:t>
      </w:r>
      <w:r w:rsidR="00241A9A" w:rsidRPr="000E6920">
        <w:rPr>
          <w:rFonts w:cs="Calibri"/>
          <w:sz w:val="24"/>
          <w:szCs w:val="24"/>
        </w:rPr>
        <w:t xml:space="preserve"> percent of GDP by March 2013</w:t>
      </w:r>
      <w:r w:rsidR="005445CC">
        <w:rPr>
          <w:rFonts w:cs="Calibri"/>
          <w:sz w:val="24"/>
          <w:szCs w:val="24"/>
        </w:rPr>
        <w:t xml:space="preserve">, up from </w:t>
      </w:r>
      <w:r w:rsidR="00241A9A" w:rsidRPr="000E6920">
        <w:rPr>
          <w:rFonts w:cs="Calibri"/>
          <w:sz w:val="24"/>
          <w:szCs w:val="24"/>
        </w:rPr>
        <w:t xml:space="preserve">42 percent of GDP in March 2012 </w:t>
      </w:r>
      <w:r w:rsidR="009E0FE5" w:rsidRPr="000E6920">
        <w:rPr>
          <w:rFonts w:cs="Calibri"/>
          <w:sz w:val="24"/>
          <w:szCs w:val="24"/>
        </w:rPr>
        <w:t>External debt account</w:t>
      </w:r>
      <w:r w:rsidR="005445CC">
        <w:rPr>
          <w:rFonts w:cs="Calibri"/>
          <w:sz w:val="24"/>
          <w:szCs w:val="24"/>
        </w:rPr>
        <w:t>ed</w:t>
      </w:r>
      <w:r w:rsidR="009E0FE5" w:rsidRPr="000E6920">
        <w:rPr>
          <w:rFonts w:cs="Calibri"/>
          <w:sz w:val="24"/>
          <w:szCs w:val="24"/>
        </w:rPr>
        <w:t xml:space="preserve"> for 77 percent of total debt</w:t>
      </w:r>
      <w:r w:rsidR="005445CC">
        <w:rPr>
          <w:rFonts w:cs="Calibri"/>
          <w:sz w:val="24"/>
          <w:szCs w:val="24"/>
        </w:rPr>
        <w:t xml:space="preserve">.  </w:t>
      </w:r>
      <w:r w:rsidR="00241A9A" w:rsidRPr="000E6920">
        <w:rPr>
          <w:rFonts w:cs="Calibri"/>
          <w:sz w:val="24"/>
          <w:szCs w:val="24"/>
        </w:rPr>
        <w:t xml:space="preserve">The </w:t>
      </w:r>
      <w:r w:rsidR="005445CC">
        <w:rPr>
          <w:rFonts w:cs="Calibri"/>
          <w:sz w:val="24"/>
          <w:szCs w:val="24"/>
        </w:rPr>
        <w:t xml:space="preserve">total </w:t>
      </w:r>
      <w:r w:rsidR="009E0FE5" w:rsidRPr="000E6920">
        <w:rPr>
          <w:rFonts w:cs="Calibri"/>
          <w:sz w:val="24"/>
          <w:szCs w:val="24"/>
        </w:rPr>
        <w:t>public</w:t>
      </w:r>
      <w:r w:rsidR="00241A9A" w:rsidRPr="000E6920">
        <w:rPr>
          <w:rFonts w:cs="Calibri"/>
          <w:sz w:val="24"/>
          <w:szCs w:val="24"/>
        </w:rPr>
        <w:t xml:space="preserve"> debt is set to increase </w:t>
      </w:r>
      <w:r w:rsidR="005445CC">
        <w:rPr>
          <w:rFonts w:cs="Calibri"/>
          <w:sz w:val="24"/>
          <w:szCs w:val="24"/>
        </w:rPr>
        <w:t xml:space="preserve">by 5 percent of </w:t>
      </w:r>
      <w:r w:rsidR="00F80F3C">
        <w:rPr>
          <w:rFonts w:cs="Calibri"/>
          <w:sz w:val="24"/>
          <w:szCs w:val="24"/>
        </w:rPr>
        <w:t xml:space="preserve">GDP </w:t>
      </w:r>
      <w:r w:rsidR="00F80F3C" w:rsidRPr="000E6920">
        <w:rPr>
          <w:rFonts w:cs="Calibri"/>
          <w:sz w:val="24"/>
          <w:szCs w:val="24"/>
        </w:rPr>
        <w:t>in</w:t>
      </w:r>
      <w:r w:rsidR="00241A9A" w:rsidRPr="000E6920">
        <w:rPr>
          <w:rFonts w:cs="Calibri"/>
          <w:sz w:val="24"/>
          <w:szCs w:val="24"/>
        </w:rPr>
        <w:t xml:space="preserve"> 2013/14</w:t>
      </w:r>
      <w:r w:rsidR="005445CC">
        <w:rPr>
          <w:rFonts w:cs="Calibri"/>
          <w:sz w:val="24"/>
          <w:szCs w:val="24"/>
        </w:rPr>
        <w:t>, reaching 47-48 percent of GDP at the end of the FY</w:t>
      </w:r>
      <w:r w:rsidR="00241A9A" w:rsidRPr="000E6920">
        <w:rPr>
          <w:rFonts w:cs="Calibri"/>
          <w:sz w:val="24"/>
          <w:szCs w:val="24"/>
        </w:rPr>
        <w:t>.</w:t>
      </w:r>
      <w:r w:rsidR="005445CC">
        <w:rPr>
          <w:rFonts w:cs="Calibri"/>
          <w:sz w:val="24"/>
          <w:szCs w:val="24"/>
        </w:rPr>
        <w:t xml:space="preserve">  The total debt </w:t>
      </w:r>
      <w:r w:rsidR="00F80F3C">
        <w:rPr>
          <w:rFonts w:cs="Calibri"/>
          <w:sz w:val="24"/>
          <w:szCs w:val="24"/>
        </w:rPr>
        <w:t>service on external debt (interest and amortization payments) is</w:t>
      </w:r>
      <w:r w:rsidR="005445CC">
        <w:rPr>
          <w:rFonts w:cs="Calibri"/>
          <w:sz w:val="24"/>
          <w:szCs w:val="24"/>
        </w:rPr>
        <w:t xml:space="preserve"> projected to increase to </w:t>
      </w:r>
      <w:r w:rsidR="00F80F3C">
        <w:rPr>
          <w:rFonts w:cs="Calibri"/>
          <w:sz w:val="24"/>
          <w:szCs w:val="24"/>
        </w:rPr>
        <w:t>2.5</w:t>
      </w:r>
      <w:r w:rsidR="005445CC">
        <w:rPr>
          <w:rFonts w:cs="Calibri"/>
          <w:sz w:val="24"/>
          <w:szCs w:val="24"/>
        </w:rPr>
        <w:t xml:space="preserve"> percent of GDP</w:t>
      </w:r>
      <w:r w:rsidR="006E2175">
        <w:rPr>
          <w:rFonts w:cs="Calibri"/>
          <w:sz w:val="24"/>
          <w:szCs w:val="24"/>
        </w:rPr>
        <w:t xml:space="preserve"> (up</w:t>
      </w:r>
      <w:r w:rsidR="005445CC">
        <w:rPr>
          <w:rFonts w:cs="Calibri"/>
          <w:sz w:val="24"/>
          <w:szCs w:val="24"/>
        </w:rPr>
        <w:t xml:space="preserve"> from </w:t>
      </w:r>
      <w:r w:rsidR="006E2175">
        <w:rPr>
          <w:rFonts w:cs="Calibri"/>
          <w:sz w:val="24"/>
          <w:szCs w:val="24"/>
        </w:rPr>
        <w:t>1.8</w:t>
      </w:r>
      <w:r w:rsidR="005445CC">
        <w:rPr>
          <w:rFonts w:cs="Calibri"/>
          <w:sz w:val="24"/>
          <w:szCs w:val="24"/>
        </w:rPr>
        <w:t xml:space="preserve"> percent in 201</w:t>
      </w:r>
      <w:r w:rsidR="00F80F3C">
        <w:rPr>
          <w:rFonts w:cs="Calibri"/>
          <w:sz w:val="24"/>
          <w:szCs w:val="24"/>
        </w:rPr>
        <w:t>2</w:t>
      </w:r>
      <w:r w:rsidR="005445CC">
        <w:rPr>
          <w:rFonts w:cs="Calibri"/>
          <w:sz w:val="24"/>
          <w:szCs w:val="24"/>
        </w:rPr>
        <w:t>/1</w:t>
      </w:r>
      <w:r w:rsidR="00F80F3C">
        <w:rPr>
          <w:rFonts w:cs="Calibri"/>
          <w:sz w:val="24"/>
          <w:szCs w:val="24"/>
        </w:rPr>
        <w:t>3</w:t>
      </w:r>
      <w:r w:rsidR="006E2175">
        <w:rPr>
          <w:rFonts w:cs="Calibri"/>
          <w:sz w:val="24"/>
          <w:szCs w:val="24"/>
        </w:rPr>
        <w:t>) equivalent to 8.3 of projected total public spending</w:t>
      </w:r>
      <w:r w:rsidR="005445CC">
        <w:rPr>
          <w:rFonts w:cs="Calibri"/>
          <w:sz w:val="24"/>
          <w:szCs w:val="24"/>
        </w:rPr>
        <w:t>.</w:t>
      </w:r>
    </w:p>
    <w:p w:rsidR="005C45D1" w:rsidRPr="000E6920" w:rsidRDefault="005C45D1" w:rsidP="006E2175">
      <w:pPr>
        <w:spacing w:after="0" w:line="240" w:lineRule="auto"/>
        <w:contextualSpacing/>
        <w:mirrorIndents/>
        <w:jc w:val="both"/>
        <w:rPr>
          <w:rFonts w:cs="Times New Roman"/>
          <w:sz w:val="24"/>
          <w:szCs w:val="24"/>
        </w:rPr>
      </w:pPr>
    </w:p>
    <w:p w:rsidR="005B28E5" w:rsidRDefault="00241A9A" w:rsidP="006E2175">
      <w:pPr>
        <w:numPr>
          <w:ilvl w:val="0"/>
          <w:numId w:val="30"/>
        </w:numPr>
        <w:tabs>
          <w:tab w:val="num" w:pos="720"/>
        </w:tabs>
        <w:spacing w:after="0" w:line="240" w:lineRule="auto"/>
        <w:ind w:left="0" w:firstLine="0"/>
        <w:contextualSpacing/>
        <w:mirrorIndents/>
        <w:jc w:val="both"/>
        <w:rPr>
          <w:rFonts w:cs="Times New Roman"/>
          <w:b/>
          <w:sz w:val="24"/>
          <w:szCs w:val="24"/>
        </w:rPr>
      </w:pPr>
      <w:r w:rsidRPr="000E6920">
        <w:rPr>
          <w:rFonts w:cs="Calibri"/>
          <w:b/>
          <w:sz w:val="24"/>
          <w:szCs w:val="24"/>
        </w:rPr>
        <w:t xml:space="preserve">Despite the increasing levels, </w:t>
      </w:r>
      <w:r w:rsidR="005445CC">
        <w:rPr>
          <w:rFonts w:cs="Calibri"/>
          <w:b/>
          <w:sz w:val="24"/>
          <w:szCs w:val="24"/>
        </w:rPr>
        <w:t xml:space="preserve">total as well as </w:t>
      </w:r>
      <w:r w:rsidRPr="000E6920">
        <w:rPr>
          <w:rFonts w:cs="Calibri"/>
          <w:b/>
          <w:sz w:val="24"/>
          <w:szCs w:val="24"/>
        </w:rPr>
        <w:t xml:space="preserve">external </w:t>
      </w:r>
      <w:r w:rsidR="005445CC">
        <w:rPr>
          <w:rFonts w:cs="Calibri"/>
          <w:b/>
          <w:sz w:val="24"/>
          <w:szCs w:val="24"/>
        </w:rPr>
        <w:t xml:space="preserve">public </w:t>
      </w:r>
      <w:r w:rsidRPr="000E6920">
        <w:rPr>
          <w:rFonts w:cs="Calibri"/>
          <w:b/>
          <w:sz w:val="24"/>
          <w:szCs w:val="24"/>
        </w:rPr>
        <w:t xml:space="preserve">debt remains sustainable in both </w:t>
      </w:r>
      <w:r w:rsidR="00E33C87" w:rsidRPr="000E6920">
        <w:rPr>
          <w:rFonts w:cs="Calibri"/>
          <w:b/>
          <w:sz w:val="24"/>
          <w:szCs w:val="24"/>
        </w:rPr>
        <w:t xml:space="preserve">the </w:t>
      </w:r>
      <w:r w:rsidRPr="000E6920">
        <w:rPr>
          <w:rFonts w:cs="Calibri"/>
          <w:b/>
          <w:sz w:val="24"/>
          <w:szCs w:val="24"/>
        </w:rPr>
        <w:t>short and medium term</w:t>
      </w:r>
      <w:r w:rsidR="00B73293" w:rsidRPr="000E6920">
        <w:rPr>
          <w:rFonts w:cs="Calibri"/>
          <w:b/>
          <w:sz w:val="24"/>
          <w:szCs w:val="24"/>
        </w:rPr>
        <w:t xml:space="preserve"> but </w:t>
      </w:r>
      <w:r w:rsidR="005445CC">
        <w:rPr>
          <w:rFonts w:cs="Calibri"/>
          <w:b/>
          <w:sz w:val="24"/>
          <w:szCs w:val="24"/>
        </w:rPr>
        <w:t xml:space="preserve">fiscal consolidation becomes </w:t>
      </w:r>
      <w:r w:rsidR="00812E7C" w:rsidRPr="000E6920">
        <w:rPr>
          <w:rFonts w:cs="Calibri"/>
          <w:b/>
          <w:sz w:val="24"/>
          <w:szCs w:val="24"/>
        </w:rPr>
        <w:t>imperative</w:t>
      </w:r>
      <w:r w:rsidRPr="000E6920">
        <w:rPr>
          <w:rFonts w:cs="Calibri"/>
          <w:sz w:val="24"/>
          <w:szCs w:val="24"/>
        </w:rPr>
        <w:t xml:space="preserve">. The risk of debt distress remains </w:t>
      </w:r>
      <w:r w:rsidR="005445CC">
        <w:rPr>
          <w:rFonts w:cs="Calibri"/>
          <w:sz w:val="24"/>
          <w:szCs w:val="24"/>
        </w:rPr>
        <w:t>relatively low as long as the Government will be able to contain its overall fiscal deficit</w:t>
      </w:r>
      <w:r w:rsidR="001B33A0">
        <w:rPr>
          <w:rFonts w:cs="Calibri"/>
          <w:sz w:val="24"/>
          <w:szCs w:val="24"/>
        </w:rPr>
        <w:t xml:space="preserve"> and sustain high growth </w:t>
      </w:r>
      <w:r w:rsidR="005445CC">
        <w:rPr>
          <w:rFonts w:cs="Calibri"/>
          <w:sz w:val="24"/>
          <w:szCs w:val="24"/>
        </w:rPr>
        <w:t xml:space="preserve">in the coming years. </w:t>
      </w:r>
      <w:r w:rsidRPr="000E6920">
        <w:rPr>
          <w:rFonts w:cs="Calibri"/>
          <w:sz w:val="24"/>
          <w:szCs w:val="24"/>
        </w:rPr>
        <w:t xml:space="preserve"> </w:t>
      </w:r>
      <w:r w:rsidR="00F80F3C">
        <w:rPr>
          <w:rFonts w:cs="Calibri"/>
          <w:sz w:val="24"/>
          <w:szCs w:val="24"/>
        </w:rPr>
        <w:t xml:space="preserve">This </w:t>
      </w:r>
      <w:r w:rsidR="00F80F3C" w:rsidRPr="000E6920">
        <w:rPr>
          <w:rFonts w:cs="Calibri"/>
          <w:sz w:val="24"/>
          <w:szCs w:val="24"/>
        </w:rPr>
        <w:t>assumes</w:t>
      </w:r>
      <w:r w:rsidRPr="000E6920">
        <w:rPr>
          <w:rFonts w:cs="Calibri"/>
          <w:sz w:val="24"/>
          <w:szCs w:val="24"/>
        </w:rPr>
        <w:t xml:space="preserve"> that </w:t>
      </w:r>
      <w:r w:rsidR="005445CC">
        <w:rPr>
          <w:rFonts w:cs="Calibri"/>
          <w:sz w:val="24"/>
          <w:szCs w:val="24"/>
        </w:rPr>
        <w:t xml:space="preserve">the authorities will be able to manage </w:t>
      </w:r>
      <w:r w:rsidR="00F80F3C">
        <w:rPr>
          <w:rFonts w:cs="Calibri"/>
          <w:sz w:val="24"/>
          <w:szCs w:val="24"/>
        </w:rPr>
        <w:t xml:space="preserve">the </w:t>
      </w:r>
      <w:r w:rsidR="00F80F3C" w:rsidRPr="000E6920">
        <w:rPr>
          <w:rFonts w:cs="Calibri"/>
          <w:sz w:val="24"/>
          <w:szCs w:val="24"/>
        </w:rPr>
        <w:t>expenditure</w:t>
      </w:r>
      <w:r w:rsidRPr="000E6920">
        <w:rPr>
          <w:rFonts w:cs="Calibri"/>
          <w:sz w:val="24"/>
          <w:szCs w:val="24"/>
        </w:rPr>
        <w:t xml:space="preserve"> pressures associated with infrastructure </w:t>
      </w:r>
      <w:r w:rsidR="00F80F3C" w:rsidRPr="000E6920">
        <w:rPr>
          <w:rFonts w:cs="Calibri"/>
          <w:sz w:val="24"/>
          <w:szCs w:val="24"/>
        </w:rPr>
        <w:t>needs and</w:t>
      </w:r>
      <w:r w:rsidRPr="000E6920">
        <w:rPr>
          <w:rFonts w:cs="Calibri"/>
          <w:sz w:val="24"/>
          <w:szCs w:val="24"/>
        </w:rPr>
        <w:t xml:space="preserve"> growing pension liabilities</w:t>
      </w:r>
      <w:r w:rsidR="001B33A0">
        <w:rPr>
          <w:rFonts w:cs="Calibri"/>
          <w:sz w:val="24"/>
          <w:szCs w:val="24"/>
        </w:rPr>
        <w:t xml:space="preserve"> within a sound fiscal policy framework</w:t>
      </w:r>
      <w:r w:rsidRPr="000E6920">
        <w:rPr>
          <w:rFonts w:cs="Calibri"/>
          <w:sz w:val="24"/>
          <w:szCs w:val="24"/>
        </w:rPr>
        <w:t xml:space="preserve">.  </w:t>
      </w:r>
      <w:r w:rsidR="001B33A0">
        <w:rPr>
          <w:rFonts w:cs="Calibri"/>
          <w:sz w:val="24"/>
          <w:szCs w:val="24"/>
        </w:rPr>
        <w:t>T</w:t>
      </w:r>
      <w:r w:rsidRPr="000E6920">
        <w:rPr>
          <w:rFonts w:cs="Calibri"/>
          <w:sz w:val="24"/>
          <w:szCs w:val="24"/>
        </w:rPr>
        <w:t xml:space="preserve">he Government is in the process of establishing the Debt Management Department in the MoF, including reviewing </w:t>
      </w:r>
      <w:r w:rsidR="00D33224" w:rsidRPr="000E6920">
        <w:rPr>
          <w:rFonts w:cs="Calibri"/>
          <w:sz w:val="24"/>
          <w:szCs w:val="24"/>
        </w:rPr>
        <w:t xml:space="preserve">the </w:t>
      </w:r>
      <w:r w:rsidRPr="000E6920">
        <w:rPr>
          <w:rFonts w:cs="Calibri"/>
          <w:sz w:val="24"/>
          <w:szCs w:val="24"/>
        </w:rPr>
        <w:t>policy and legal framework and capacity building for better manage</w:t>
      </w:r>
      <w:r w:rsidR="001B33A0">
        <w:rPr>
          <w:rFonts w:cs="Calibri"/>
          <w:sz w:val="24"/>
          <w:szCs w:val="24"/>
        </w:rPr>
        <w:t xml:space="preserve"> and monitor the </w:t>
      </w:r>
      <w:r w:rsidRPr="000E6920">
        <w:rPr>
          <w:rFonts w:cs="Calibri"/>
          <w:sz w:val="24"/>
          <w:szCs w:val="24"/>
        </w:rPr>
        <w:t>public debt.</w:t>
      </w:r>
    </w:p>
    <w:p w:rsidR="005B28E5" w:rsidRPr="005B28E5" w:rsidRDefault="005B28E5" w:rsidP="005B28E5">
      <w:pPr>
        <w:spacing w:after="0" w:line="240" w:lineRule="auto"/>
        <w:contextualSpacing/>
        <w:mirrorIndents/>
        <w:jc w:val="both"/>
        <w:rPr>
          <w:rFonts w:cs="Times New Roman"/>
          <w:b/>
          <w:sz w:val="24"/>
          <w:szCs w:val="24"/>
        </w:rPr>
      </w:pPr>
    </w:p>
    <w:p w:rsidR="00636976" w:rsidRPr="008138F9" w:rsidRDefault="00636976" w:rsidP="003D7A2D">
      <w:pPr>
        <w:pStyle w:val="ListParagraph"/>
        <w:numPr>
          <w:ilvl w:val="0"/>
          <w:numId w:val="29"/>
        </w:numPr>
        <w:spacing w:after="0" w:line="240" w:lineRule="auto"/>
        <w:ind w:left="0" w:firstLine="0"/>
        <w:mirrorIndents/>
        <w:jc w:val="both"/>
        <w:rPr>
          <w:rFonts w:cs="Times New Roman"/>
          <w:b/>
          <w:sz w:val="24"/>
          <w:szCs w:val="24"/>
        </w:rPr>
      </w:pPr>
      <w:r w:rsidRPr="008138F9">
        <w:rPr>
          <w:rFonts w:cs="Times New Roman"/>
          <w:b/>
          <w:sz w:val="28"/>
          <w:szCs w:val="28"/>
        </w:rPr>
        <w:t xml:space="preserve">Strategic </w:t>
      </w:r>
      <w:r w:rsidR="00016CCE" w:rsidRPr="008138F9">
        <w:rPr>
          <w:rFonts w:cs="Times New Roman"/>
          <w:b/>
          <w:sz w:val="28"/>
          <w:szCs w:val="28"/>
        </w:rPr>
        <w:t>A</w:t>
      </w:r>
      <w:r w:rsidRPr="008138F9">
        <w:rPr>
          <w:rFonts w:cs="Times New Roman"/>
          <w:b/>
          <w:sz w:val="28"/>
          <w:szCs w:val="28"/>
        </w:rPr>
        <w:t>llocation</w:t>
      </w:r>
      <w:r w:rsidR="000A2871" w:rsidRPr="008138F9">
        <w:rPr>
          <w:rFonts w:cs="Times New Roman"/>
          <w:b/>
          <w:sz w:val="28"/>
          <w:szCs w:val="28"/>
        </w:rPr>
        <w:t xml:space="preserve"> of </w:t>
      </w:r>
      <w:r w:rsidR="00016CCE" w:rsidRPr="008138F9">
        <w:rPr>
          <w:rFonts w:cs="Times New Roman"/>
          <w:b/>
          <w:sz w:val="28"/>
          <w:szCs w:val="28"/>
        </w:rPr>
        <w:t>Expenditures</w:t>
      </w:r>
      <w:r w:rsidR="00FE4796">
        <w:rPr>
          <w:rFonts w:cs="Times New Roman"/>
          <w:b/>
          <w:sz w:val="28"/>
          <w:szCs w:val="28"/>
        </w:rPr>
        <w:t xml:space="preserve"> and LGA transfers</w:t>
      </w:r>
    </w:p>
    <w:p w:rsidR="00636976" w:rsidRPr="00D27B5E" w:rsidRDefault="00636976" w:rsidP="003673EE">
      <w:pPr>
        <w:pStyle w:val="ListParagraph"/>
        <w:spacing w:after="0" w:line="240" w:lineRule="auto"/>
        <w:ind w:left="0"/>
        <w:mirrorIndents/>
        <w:jc w:val="both"/>
        <w:rPr>
          <w:rFonts w:cs="Times New Roman"/>
          <w:sz w:val="24"/>
          <w:szCs w:val="24"/>
        </w:rPr>
      </w:pPr>
    </w:p>
    <w:p w:rsidR="00016CCE" w:rsidRPr="008138F9" w:rsidRDefault="00FE4796" w:rsidP="003D7A2D">
      <w:pPr>
        <w:pStyle w:val="ListParagraph"/>
        <w:numPr>
          <w:ilvl w:val="0"/>
          <w:numId w:val="13"/>
        </w:numPr>
        <w:spacing w:after="0" w:line="240" w:lineRule="auto"/>
        <w:ind w:left="0" w:firstLine="0"/>
        <w:mirrorIndents/>
        <w:jc w:val="both"/>
        <w:rPr>
          <w:rFonts w:cs="Times New Roman"/>
          <w:b/>
          <w:i/>
          <w:sz w:val="24"/>
          <w:szCs w:val="24"/>
        </w:rPr>
      </w:pPr>
      <w:r w:rsidRPr="008138F9">
        <w:rPr>
          <w:rFonts w:cs="Times New Roman"/>
          <w:b/>
          <w:sz w:val="28"/>
          <w:szCs w:val="28"/>
        </w:rPr>
        <w:t>Strategic Allocation of Expenditures</w:t>
      </w:r>
    </w:p>
    <w:p w:rsidR="00DC7A3E" w:rsidRPr="00D27B5E" w:rsidRDefault="00DC7A3E" w:rsidP="00EE753B">
      <w:pPr>
        <w:spacing w:after="0" w:line="240" w:lineRule="auto"/>
        <w:mirrorIndents/>
        <w:jc w:val="both"/>
        <w:rPr>
          <w:rFonts w:cs="Times New Roman"/>
          <w:sz w:val="24"/>
          <w:szCs w:val="24"/>
        </w:rPr>
      </w:pPr>
    </w:p>
    <w:p w:rsidR="008339BC" w:rsidRPr="000E6920" w:rsidRDefault="00D93542" w:rsidP="008339BC">
      <w:pPr>
        <w:numPr>
          <w:ilvl w:val="0"/>
          <w:numId w:val="30"/>
        </w:numPr>
        <w:tabs>
          <w:tab w:val="num" w:pos="720"/>
        </w:tabs>
        <w:spacing w:after="0" w:line="240" w:lineRule="auto"/>
        <w:ind w:left="0" w:firstLine="0"/>
        <w:contextualSpacing/>
        <w:mirrorIndents/>
        <w:jc w:val="both"/>
        <w:rPr>
          <w:bCs/>
          <w:sz w:val="24"/>
          <w:szCs w:val="24"/>
        </w:rPr>
      </w:pPr>
      <w:r>
        <w:rPr>
          <w:b/>
          <w:bCs/>
          <w:sz w:val="24"/>
          <w:szCs w:val="24"/>
        </w:rPr>
        <w:t>T</w:t>
      </w:r>
      <w:r w:rsidR="00292747" w:rsidRPr="000E6920">
        <w:rPr>
          <w:b/>
          <w:bCs/>
          <w:sz w:val="24"/>
          <w:szCs w:val="24"/>
        </w:rPr>
        <w:t xml:space="preserve">he share of </w:t>
      </w:r>
      <w:r w:rsidR="005D40F8" w:rsidRPr="000E6920">
        <w:rPr>
          <w:b/>
          <w:bCs/>
          <w:sz w:val="24"/>
          <w:szCs w:val="24"/>
        </w:rPr>
        <w:t>b</w:t>
      </w:r>
      <w:r w:rsidR="008339BC" w:rsidRPr="000E6920">
        <w:rPr>
          <w:b/>
          <w:bCs/>
          <w:sz w:val="24"/>
          <w:szCs w:val="24"/>
        </w:rPr>
        <w:t>udget</w:t>
      </w:r>
      <w:r w:rsidR="00292747" w:rsidRPr="000E6920">
        <w:rPr>
          <w:b/>
          <w:bCs/>
          <w:sz w:val="24"/>
          <w:szCs w:val="24"/>
        </w:rPr>
        <w:t xml:space="preserve"> allocated </w:t>
      </w:r>
      <w:r w:rsidR="00D33224" w:rsidRPr="000E6920">
        <w:rPr>
          <w:b/>
          <w:bCs/>
          <w:sz w:val="24"/>
          <w:szCs w:val="24"/>
        </w:rPr>
        <w:t xml:space="preserve">to </w:t>
      </w:r>
      <w:r w:rsidRPr="000E6920">
        <w:rPr>
          <w:b/>
          <w:bCs/>
          <w:sz w:val="24"/>
          <w:szCs w:val="24"/>
        </w:rPr>
        <w:t xml:space="preserve">strategic priorities defined in the MKUKUTA and FYDP </w:t>
      </w:r>
      <w:r w:rsidR="00340B79">
        <w:rPr>
          <w:b/>
          <w:bCs/>
          <w:sz w:val="24"/>
          <w:szCs w:val="24"/>
        </w:rPr>
        <w:t xml:space="preserve">should </w:t>
      </w:r>
      <w:r w:rsidR="00340B79" w:rsidRPr="000E6920">
        <w:rPr>
          <w:b/>
          <w:bCs/>
          <w:sz w:val="24"/>
          <w:szCs w:val="24"/>
        </w:rPr>
        <w:t>reach</w:t>
      </w:r>
      <w:r>
        <w:rPr>
          <w:b/>
          <w:bCs/>
          <w:sz w:val="24"/>
          <w:szCs w:val="24"/>
        </w:rPr>
        <w:t xml:space="preserve"> 73 </w:t>
      </w:r>
      <w:r w:rsidR="00340B79">
        <w:rPr>
          <w:b/>
          <w:bCs/>
          <w:sz w:val="24"/>
          <w:szCs w:val="24"/>
        </w:rPr>
        <w:t>percent in</w:t>
      </w:r>
      <w:r>
        <w:rPr>
          <w:b/>
          <w:bCs/>
          <w:sz w:val="24"/>
          <w:szCs w:val="24"/>
        </w:rPr>
        <w:t xml:space="preserve"> </w:t>
      </w:r>
      <w:r w:rsidR="00145A75" w:rsidRPr="000E6920">
        <w:rPr>
          <w:bCs/>
          <w:sz w:val="24"/>
          <w:szCs w:val="24"/>
        </w:rPr>
        <w:t>2013/14</w:t>
      </w:r>
      <w:r w:rsidR="00340B79">
        <w:rPr>
          <w:bCs/>
          <w:sz w:val="24"/>
          <w:szCs w:val="24"/>
        </w:rPr>
        <w:t>,</w:t>
      </w:r>
      <w:r w:rsidR="00145A75" w:rsidRPr="000E6920">
        <w:rPr>
          <w:bCs/>
          <w:sz w:val="24"/>
          <w:szCs w:val="24"/>
        </w:rPr>
        <w:t xml:space="preserve"> up from 71 percent in 2012/13</w:t>
      </w:r>
      <w:r w:rsidR="008339BC" w:rsidRPr="000E6920">
        <w:rPr>
          <w:bCs/>
          <w:sz w:val="24"/>
          <w:szCs w:val="24"/>
        </w:rPr>
        <w:t xml:space="preserve"> (</w:t>
      </w:r>
      <w:r w:rsidR="00145A75" w:rsidRPr="000E6920">
        <w:rPr>
          <w:bCs/>
          <w:sz w:val="24"/>
          <w:szCs w:val="24"/>
        </w:rPr>
        <w:fldChar w:fldCharType="begin"/>
      </w:r>
      <w:r w:rsidR="00145A75" w:rsidRPr="000E6920">
        <w:rPr>
          <w:bCs/>
          <w:sz w:val="24"/>
          <w:szCs w:val="24"/>
        </w:rPr>
        <w:instrText xml:space="preserve"> REF _Ref371078965 \h </w:instrText>
      </w:r>
      <w:r w:rsidR="000E6920">
        <w:rPr>
          <w:bCs/>
          <w:sz w:val="24"/>
          <w:szCs w:val="24"/>
        </w:rPr>
        <w:instrText xml:space="preserve"> \* MERGEFORMAT </w:instrText>
      </w:r>
      <w:r w:rsidR="00145A75" w:rsidRPr="000E6920">
        <w:rPr>
          <w:bCs/>
          <w:sz w:val="24"/>
          <w:szCs w:val="24"/>
        </w:rPr>
      </w:r>
      <w:r w:rsidR="00145A75" w:rsidRPr="000E6920">
        <w:rPr>
          <w:bCs/>
          <w:sz w:val="24"/>
          <w:szCs w:val="24"/>
        </w:rPr>
        <w:fldChar w:fldCharType="separate"/>
      </w:r>
      <w:r w:rsidR="005B207F" w:rsidRPr="005B207F">
        <w:rPr>
          <w:sz w:val="24"/>
          <w:szCs w:val="24"/>
        </w:rPr>
        <w:t xml:space="preserve">Table </w:t>
      </w:r>
      <w:r w:rsidR="005B207F" w:rsidRPr="005B207F">
        <w:rPr>
          <w:noProof/>
          <w:sz w:val="24"/>
          <w:szCs w:val="24"/>
        </w:rPr>
        <w:t>9</w:t>
      </w:r>
      <w:r w:rsidR="00145A75" w:rsidRPr="000E6920">
        <w:rPr>
          <w:bCs/>
          <w:sz w:val="24"/>
          <w:szCs w:val="24"/>
        </w:rPr>
        <w:fldChar w:fldCharType="end"/>
      </w:r>
      <w:r w:rsidR="00145A75" w:rsidRPr="000E6920">
        <w:rPr>
          <w:bCs/>
          <w:sz w:val="24"/>
          <w:szCs w:val="24"/>
        </w:rPr>
        <w:t>). This</w:t>
      </w:r>
      <w:r w:rsidR="008339BC" w:rsidRPr="000E6920">
        <w:rPr>
          <w:bCs/>
          <w:sz w:val="24"/>
          <w:szCs w:val="24"/>
        </w:rPr>
        <w:t xml:space="preserve"> increase is the result of higher </w:t>
      </w:r>
      <w:r w:rsidR="00145A75" w:rsidRPr="000E6920">
        <w:rPr>
          <w:bCs/>
          <w:sz w:val="24"/>
          <w:szCs w:val="24"/>
        </w:rPr>
        <w:t xml:space="preserve">allocations for </w:t>
      </w:r>
      <w:r w:rsidR="008339BC" w:rsidRPr="000E6920">
        <w:rPr>
          <w:bCs/>
          <w:sz w:val="24"/>
          <w:szCs w:val="24"/>
        </w:rPr>
        <w:t>infrastructure investment</w:t>
      </w:r>
      <w:r w:rsidR="00145A75" w:rsidRPr="000E6920">
        <w:rPr>
          <w:bCs/>
          <w:sz w:val="24"/>
          <w:szCs w:val="24"/>
        </w:rPr>
        <w:t xml:space="preserve"> in energy and roads. In addition, significant budgetary allocations for social sectors continue to be </w:t>
      </w:r>
      <w:r>
        <w:rPr>
          <w:bCs/>
          <w:sz w:val="24"/>
          <w:szCs w:val="24"/>
        </w:rPr>
        <w:t xml:space="preserve">with the objective </w:t>
      </w:r>
      <w:r w:rsidR="00340B79">
        <w:rPr>
          <w:bCs/>
          <w:sz w:val="24"/>
          <w:szCs w:val="24"/>
        </w:rPr>
        <w:t xml:space="preserve">to </w:t>
      </w:r>
      <w:r w:rsidR="00340B79" w:rsidRPr="000E6920">
        <w:rPr>
          <w:bCs/>
          <w:sz w:val="24"/>
          <w:szCs w:val="24"/>
        </w:rPr>
        <w:t>increase</w:t>
      </w:r>
      <w:r w:rsidR="00317777" w:rsidRPr="000E6920">
        <w:rPr>
          <w:bCs/>
          <w:sz w:val="24"/>
          <w:szCs w:val="24"/>
        </w:rPr>
        <w:t xml:space="preserve"> the quality</w:t>
      </w:r>
      <w:r w:rsidR="0031743E" w:rsidRPr="000E6920">
        <w:rPr>
          <w:bCs/>
          <w:sz w:val="24"/>
          <w:szCs w:val="24"/>
        </w:rPr>
        <w:t xml:space="preserve"> of service delivery</w:t>
      </w:r>
      <w:r w:rsidR="00317777" w:rsidRPr="000E6920">
        <w:rPr>
          <w:bCs/>
          <w:sz w:val="24"/>
          <w:szCs w:val="24"/>
        </w:rPr>
        <w:t xml:space="preserve">. </w:t>
      </w:r>
      <w:r w:rsidR="008339BC" w:rsidRPr="000E6920">
        <w:rPr>
          <w:sz w:val="24"/>
          <w:szCs w:val="24"/>
        </w:rPr>
        <w:t xml:space="preserve"> </w:t>
      </w:r>
    </w:p>
    <w:p w:rsidR="0010197D" w:rsidRPr="000E6920" w:rsidRDefault="0010197D" w:rsidP="0010197D">
      <w:pPr>
        <w:spacing w:after="0" w:line="240" w:lineRule="auto"/>
        <w:contextualSpacing/>
        <w:mirrorIndents/>
        <w:jc w:val="both"/>
        <w:rPr>
          <w:bCs/>
          <w:sz w:val="24"/>
          <w:szCs w:val="24"/>
        </w:rPr>
      </w:pPr>
    </w:p>
    <w:p w:rsidR="00857A96" w:rsidRPr="00857A96" w:rsidRDefault="00857A96" w:rsidP="0095356E">
      <w:pPr>
        <w:pStyle w:val="Caption"/>
        <w:spacing w:after="120"/>
        <w:jc w:val="center"/>
        <w:rPr>
          <w:b w:val="0"/>
          <w:bCs w:val="0"/>
          <w:color w:val="auto"/>
          <w:sz w:val="22"/>
          <w:szCs w:val="22"/>
        </w:rPr>
      </w:pPr>
      <w:bookmarkStart w:id="13" w:name="_Ref371078965"/>
      <w:r w:rsidRPr="00857A96">
        <w:rPr>
          <w:color w:val="auto"/>
          <w:sz w:val="22"/>
          <w:szCs w:val="22"/>
        </w:rPr>
        <w:t xml:space="preserve">Table </w:t>
      </w:r>
      <w:r w:rsidRPr="00857A96">
        <w:rPr>
          <w:color w:val="auto"/>
          <w:sz w:val="22"/>
          <w:szCs w:val="22"/>
        </w:rPr>
        <w:fldChar w:fldCharType="begin"/>
      </w:r>
      <w:r w:rsidRPr="00857A96">
        <w:rPr>
          <w:color w:val="auto"/>
          <w:sz w:val="22"/>
          <w:szCs w:val="22"/>
        </w:rPr>
        <w:instrText xml:space="preserve"> SEQ Table \* ARABIC </w:instrText>
      </w:r>
      <w:r w:rsidRPr="00857A96">
        <w:rPr>
          <w:color w:val="auto"/>
          <w:sz w:val="22"/>
          <w:szCs w:val="22"/>
        </w:rPr>
        <w:fldChar w:fldCharType="separate"/>
      </w:r>
      <w:r w:rsidR="005B207F">
        <w:rPr>
          <w:noProof/>
          <w:color w:val="auto"/>
          <w:sz w:val="22"/>
          <w:szCs w:val="22"/>
        </w:rPr>
        <w:t>9</w:t>
      </w:r>
      <w:r w:rsidRPr="00857A96">
        <w:rPr>
          <w:color w:val="auto"/>
          <w:sz w:val="22"/>
          <w:szCs w:val="22"/>
        </w:rPr>
        <w:fldChar w:fldCharType="end"/>
      </w:r>
      <w:bookmarkEnd w:id="13"/>
      <w:r w:rsidRPr="00857A96">
        <w:rPr>
          <w:color w:val="auto"/>
          <w:sz w:val="22"/>
          <w:szCs w:val="22"/>
        </w:rPr>
        <w:t xml:space="preserve">: Trends in </w:t>
      </w:r>
      <w:r w:rsidR="00E95C6A">
        <w:rPr>
          <w:color w:val="auto"/>
          <w:sz w:val="22"/>
          <w:szCs w:val="22"/>
        </w:rPr>
        <w:t xml:space="preserve">approved </w:t>
      </w:r>
      <w:r w:rsidRPr="00857A96">
        <w:rPr>
          <w:color w:val="auto"/>
          <w:sz w:val="22"/>
          <w:szCs w:val="22"/>
        </w:rPr>
        <w:t>budget allocations to MKUKUTA and non-MKUKUTA</w:t>
      </w:r>
    </w:p>
    <w:p w:rsidR="0010197D" w:rsidRPr="008339BC" w:rsidRDefault="00BE2309" w:rsidP="0095356E">
      <w:pPr>
        <w:spacing w:after="0" w:line="240" w:lineRule="auto"/>
        <w:contextualSpacing/>
        <w:mirrorIndents/>
        <w:jc w:val="center"/>
        <w:rPr>
          <w:bCs/>
          <w:sz w:val="24"/>
          <w:szCs w:val="24"/>
        </w:rPr>
      </w:pPr>
      <w:r w:rsidRPr="00BE2309">
        <w:rPr>
          <w:noProof/>
        </w:rPr>
        <w:drawing>
          <wp:inline distT="0" distB="0" distL="0" distR="0" wp14:anchorId="44BBA446" wp14:editId="6D99EBCA">
            <wp:extent cx="5371539" cy="1007534"/>
            <wp:effectExtent l="0" t="0" r="63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71320" cy="1007493"/>
                    </a:xfrm>
                    <a:prstGeom prst="rect">
                      <a:avLst/>
                    </a:prstGeom>
                    <a:noFill/>
                    <a:ln>
                      <a:noFill/>
                    </a:ln>
                  </pic:spPr>
                </pic:pic>
              </a:graphicData>
            </a:graphic>
          </wp:inline>
        </w:drawing>
      </w:r>
    </w:p>
    <w:p w:rsidR="008339BC" w:rsidRPr="008339BC" w:rsidRDefault="0092724A" w:rsidP="0092724A">
      <w:pPr>
        <w:spacing w:after="0" w:line="240" w:lineRule="auto"/>
        <w:contextualSpacing/>
        <w:mirrorIndents/>
        <w:jc w:val="both"/>
        <w:rPr>
          <w:bCs/>
          <w:sz w:val="24"/>
          <w:szCs w:val="24"/>
        </w:rPr>
      </w:pPr>
      <w:r>
        <w:rPr>
          <w:rFonts w:cs="Calibri"/>
          <w:bCs/>
        </w:rPr>
        <w:t xml:space="preserve">      </w:t>
      </w:r>
      <w:r w:rsidR="00061A94">
        <w:rPr>
          <w:rFonts w:cs="Calibri"/>
          <w:bCs/>
        </w:rPr>
        <w:t xml:space="preserve">   </w:t>
      </w:r>
      <w:r w:rsidR="00DA05F0">
        <w:rPr>
          <w:rFonts w:cs="Calibri"/>
          <w:bCs/>
        </w:rPr>
        <w:t>Source:</w:t>
      </w:r>
      <w:r w:rsidR="0048146C">
        <w:rPr>
          <w:rFonts w:cs="Calibri"/>
          <w:bCs/>
        </w:rPr>
        <w:t xml:space="preserve">  Ministry of Finance and World Bank estimates</w:t>
      </w:r>
    </w:p>
    <w:p w:rsidR="00B05F32" w:rsidRPr="00B05F32" w:rsidRDefault="00B05F32" w:rsidP="00B05F32">
      <w:pPr>
        <w:spacing w:after="0" w:line="240" w:lineRule="auto"/>
        <w:contextualSpacing/>
        <w:mirrorIndents/>
        <w:jc w:val="both"/>
        <w:rPr>
          <w:bCs/>
          <w:sz w:val="24"/>
          <w:szCs w:val="24"/>
        </w:rPr>
      </w:pPr>
    </w:p>
    <w:p w:rsidR="00E675C0" w:rsidRPr="00B05F32" w:rsidRDefault="007D5DB9" w:rsidP="00DC42AB">
      <w:pPr>
        <w:numPr>
          <w:ilvl w:val="0"/>
          <w:numId w:val="30"/>
        </w:numPr>
        <w:tabs>
          <w:tab w:val="num" w:pos="720"/>
        </w:tabs>
        <w:spacing w:line="240" w:lineRule="auto"/>
        <w:ind w:left="0" w:firstLine="0"/>
        <w:contextualSpacing/>
        <w:mirrorIndents/>
        <w:jc w:val="both"/>
        <w:rPr>
          <w:bCs/>
          <w:sz w:val="24"/>
          <w:szCs w:val="24"/>
        </w:rPr>
      </w:pPr>
      <w:r w:rsidRPr="000E6920">
        <w:rPr>
          <w:b/>
          <w:bCs/>
          <w:sz w:val="24"/>
          <w:szCs w:val="24"/>
        </w:rPr>
        <w:lastRenderedPageBreak/>
        <w:t>Despite the increased share of the budget allocated for MKUKUTA and FYDP priority programs and projects, BRN action plans remain significantly underfunded</w:t>
      </w:r>
      <w:r w:rsidRPr="000E6920">
        <w:rPr>
          <w:bCs/>
          <w:sz w:val="24"/>
          <w:szCs w:val="24"/>
        </w:rPr>
        <w:t xml:space="preserve">. </w:t>
      </w:r>
      <w:r w:rsidR="00F62F5E" w:rsidRPr="000E6920">
        <w:rPr>
          <w:bCs/>
          <w:sz w:val="24"/>
          <w:szCs w:val="24"/>
        </w:rPr>
        <w:t>Overall, the program and projects that are identified under the BRN remains significantly underfunded, with only 4</w:t>
      </w:r>
      <w:r w:rsidR="00AD5E9D">
        <w:rPr>
          <w:bCs/>
          <w:sz w:val="24"/>
          <w:szCs w:val="24"/>
        </w:rPr>
        <w:t>2</w:t>
      </w:r>
      <w:r w:rsidR="00F62F5E" w:rsidRPr="000E6920">
        <w:rPr>
          <w:bCs/>
          <w:sz w:val="24"/>
          <w:szCs w:val="24"/>
        </w:rPr>
        <w:t xml:space="preserve"> percent of the required funds being included in the 2013/14 budge</w:t>
      </w:r>
      <w:r w:rsidR="00D934DC" w:rsidRPr="000E6920">
        <w:rPr>
          <w:bCs/>
          <w:sz w:val="24"/>
          <w:szCs w:val="24"/>
        </w:rPr>
        <w:t>t (</w:t>
      </w:r>
      <w:r w:rsidR="00D934DC" w:rsidRPr="000E6920">
        <w:rPr>
          <w:bCs/>
          <w:sz w:val="24"/>
          <w:szCs w:val="24"/>
        </w:rPr>
        <w:fldChar w:fldCharType="begin"/>
      </w:r>
      <w:r w:rsidR="00D934DC" w:rsidRPr="000E6920">
        <w:rPr>
          <w:bCs/>
          <w:sz w:val="24"/>
          <w:szCs w:val="24"/>
        </w:rPr>
        <w:instrText xml:space="preserve"> REF _Ref371511189 \h </w:instrText>
      </w:r>
      <w:r w:rsidR="000E6920">
        <w:rPr>
          <w:bCs/>
          <w:sz w:val="24"/>
          <w:szCs w:val="24"/>
        </w:rPr>
        <w:instrText xml:space="preserve"> \* MERGEFORMAT </w:instrText>
      </w:r>
      <w:r w:rsidR="00D934DC" w:rsidRPr="000E6920">
        <w:rPr>
          <w:bCs/>
          <w:sz w:val="24"/>
          <w:szCs w:val="24"/>
        </w:rPr>
      </w:r>
      <w:r w:rsidR="00D934DC" w:rsidRPr="000E6920">
        <w:rPr>
          <w:bCs/>
          <w:sz w:val="24"/>
          <w:szCs w:val="24"/>
        </w:rPr>
        <w:fldChar w:fldCharType="separate"/>
      </w:r>
      <w:r w:rsidR="005B207F" w:rsidRPr="005B207F">
        <w:rPr>
          <w:sz w:val="24"/>
          <w:szCs w:val="24"/>
        </w:rPr>
        <w:t xml:space="preserve">Table </w:t>
      </w:r>
      <w:r w:rsidR="005B207F" w:rsidRPr="005B207F">
        <w:rPr>
          <w:noProof/>
          <w:sz w:val="24"/>
          <w:szCs w:val="24"/>
        </w:rPr>
        <w:t>10</w:t>
      </w:r>
      <w:r w:rsidR="00D934DC" w:rsidRPr="000E6920">
        <w:rPr>
          <w:bCs/>
          <w:sz w:val="24"/>
          <w:szCs w:val="24"/>
        </w:rPr>
        <w:fldChar w:fldCharType="end"/>
      </w:r>
      <w:r w:rsidR="00D934DC" w:rsidRPr="000E6920">
        <w:rPr>
          <w:bCs/>
          <w:sz w:val="24"/>
          <w:szCs w:val="24"/>
        </w:rPr>
        <w:t>)</w:t>
      </w:r>
      <w:r w:rsidR="00F62F5E" w:rsidRPr="000E6920">
        <w:rPr>
          <w:bCs/>
          <w:sz w:val="24"/>
          <w:szCs w:val="24"/>
        </w:rPr>
        <w:t xml:space="preserve">. The projects and programs under the BRN are supposed to be </w:t>
      </w:r>
      <w:r w:rsidR="00D934DC" w:rsidRPr="000E6920">
        <w:rPr>
          <w:bCs/>
          <w:sz w:val="24"/>
          <w:szCs w:val="24"/>
        </w:rPr>
        <w:t xml:space="preserve">implemented over three years starting from 2013/14 to 2015/16. Inadequate </w:t>
      </w:r>
      <w:r w:rsidR="00340B79" w:rsidRPr="000E6920">
        <w:rPr>
          <w:bCs/>
          <w:sz w:val="24"/>
          <w:szCs w:val="24"/>
        </w:rPr>
        <w:t>funding will</w:t>
      </w:r>
      <w:r w:rsidR="00D934DC" w:rsidRPr="000E6920">
        <w:rPr>
          <w:bCs/>
          <w:sz w:val="24"/>
          <w:szCs w:val="24"/>
        </w:rPr>
        <w:t xml:space="preserve"> definitely delay implementation of those programs and projects. </w:t>
      </w:r>
      <w:r w:rsidR="00D60F30">
        <w:rPr>
          <w:bCs/>
          <w:sz w:val="24"/>
          <w:szCs w:val="24"/>
        </w:rPr>
        <w:t xml:space="preserve">As a result, </w:t>
      </w:r>
      <w:r w:rsidR="00D934DC" w:rsidRPr="000E6920">
        <w:rPr>
          <w:bCs/>
          <w:sz w:val="24"/>
          <w:szCs w:val="24"/>
        </w:rPr>
        <w:t>part of the resource required for the BRN implementation will have to come f</w:t>
      </w:r>
      <w:r w:rsidR="00AD7264" w:rsidRPr="000E6920">
        <w:rPr>
          <w:bCs/>
          <w:sz w:val="24"/>
          <w:szCs w:val="24"/>
        </w:rPr>
        <w:t>rom the private sector. However</w:t>
      </w:r>
      <w:r w:rsidR="00B05F32">
        <w:rPr>
          <w:bCs/>
          <w:sz w:val="24"/>
          <w:szCs w:val="24"/>
        </w:rPr>
        <w:t xml:space="preserve"> it remains unclear when and how much resources can accessed from the private sector since</w:t>
      </w:r>
      <w:r w:rsidR="00AD7264" w:rsidRPr="000E6920">
        <w:rPr>
          <w:bCs/>
          <w:sz w:val="24"/>
          <w:szCs w:val="24"/>
        </w:rPr>
        <w:t xml:space="preserve"> </w:t>
      </w:r>
      <w:r w:rsidR="00B05F32">
        <w:rPr>
          <w:bCs/>
          <w:sz w:val="24"/>
          <w:szCs w:val="24"/>
        </w:rPr>
        <w:t xml:space="preserve">the </w:t>
      </w:r>
      <w:r w:rsidR="00AD7264" w:rsidRPr="000E6920">
        <w:rPr>
          <w:bCs/>
          <w:sz w:val="24"/>
          <w:szCs w:val="24"/>
        </w:rPr>
        <w:t xml:space="preserve">legal and institutional frameworks </w:t>
      </w:r>
      <w:r w:rsidR="00B05F32">
        <w:rPr>
          <w:bCs/>
          <w:sz w:val="24"/>
          <w:szCs w:val="24"/>
        </w:rPr>
        <w:t>for privates sector participation, especially through PPPs, is currently under review.</w:t>
      </w:r>
    </w:p>
    <w:p w:rsidR="00D60F30" w:rsidRPr="00D91E68" w:rsidRDefault="00D60F30" w:rsidP="00340B79">
      <w:pPr>
        <w:spacing w:after="0" w:line="240" w:lineRule="auto"/>
        <w:contextualSpacing/>
        <w:mirrorIndents/>
        <w:jc w:val="both"/>
        <w:rPr>
          <w:bCs/>
          <w:sz w:val="24"/>
          <w:szCs w:val="24"/>
        </w:rPr>
      </w:pPr>
    </w:p>
    <w:p w:rsidR="00E675C0" w:rsidRPr="00F62F5E" w:rsidRDefault="00E675C0" w:rsidP="00E675C0">
      <w:pPr>
        <w:pStyle w:val="Caption"/>
        <w:spacing w:after="120"/>
        <w:jc w:val="center"/>
        <w:rPr>
          <w:bCs w:val="0"/>
          <w:color w:val="auto"/>
          <w:sz w:val="22"/>
          <w:szCs w:val="22"/>
        </w:rPr>
      </w:pPr>
      <w:bookmarkStart w:id="14" w:name="_Ref371511189"/>
      <w:r w:rsidRPr="00F62F5E">
        <w:rPr>
          <w:color w:val="auto"/>
          <w:sz w:val="22"/>
          <w:szCs w:val="22"/>
        </w:rPr>
        <w:t xml:space="preserve">Table </w:t>
      </w:r>
      <w:r w:rsidRPr="00F62F5E">
        <w:rPr>
          <w:color w:val="auto"/>
          <w:sz w:val="22"/>
          <w:szCs w:val="22"/>
        </w:rPr>
        <w:fldChar w:fldCharType="begin"/>
      </w:r>
      <w:r w:rsidRPr="00F62F5E">
        <w:rPr>
          <w:color w:val="auto"/>
          <w:sz w:val="22"/>
          <w:szCs w:val="22"/>
        </w:rPr>
        <w:instrText xml:space="preserve"> SEQ Table \* ARABIC </w:instrText>
      </w:r>
      <w:r w:rsidRPr="00F62F5E">
        <w:rPr>
          <w:color w:val="auto"/>
          <w:sz w:val="22"/>
          <w:szCs w:val="22"/>
        </w:rPr>
        <w:fldChar w:fldCharType="separate"/>
      </w:r>
      <w:r w:rsidR="005B207F">
        <w:rPr>
          <w:noProof/>
          <w:color w:val="auto"/>
          <w:sz w:val="22"/>
          <w:szCs w:val="22"/>
        </w:rPr>
        <w:t>10</w:t>
      </w:r>
      <w:r w:rsidRPr="00F62F5E">
        <w:rPr>
          <w:color w:val="auto"/>
          <w:sz w:val="22"/>
          <w:szCs w:val="22"/>
        </w:rPr>
        <w:fldChar w:fldCharType="end"/>
      </w:r>
      <w:bookmarkEnd w:id="14"/>
      <w:r w:rsidRPr="00F62F5E">
        <w:rPr>
          <w:color w:val="auto"/>
          <w:sz w:val="22"/>
          <w:szCs w:val="22"/>
        </w:rPr>
        <w:t xml:space="preserve">: Resource requirements and budget gaps for implementing BRN NKRAs (in </w:t>
      </w:r>
      <w:proofErr w:type="gramStart"/>
      <w:r w:rsidRPr="00F62F5E">
        <w:rPr>
          <w:color w:val="auto"/>
          <w:sz w:val="22"/>
          <w:szCs w:val="22"/>
        </w:rPr>
        <w:t>Tsh</w:t>
      </w:r>
      <w:proofErr w:type="gramEnd"/>
      <w:r w:rsidRPr="00F62F5E">
        <w:rPr>
          <w:color w:val="auto"/>
          <w:sz w:val="22"/>
          <w:szCs w:val="22"/>
        </w:rPr>
        <w:t xml:space="preserve"> billions)</w:t>
      </w:r>
    </w:p>
    <w:p w:rsidR="004E6696" w:rsidRDefault="00D4660D" w:rsidP="00E675C0">
      <w:pPr>
        <w:spacing w:after="0" w:line="240" w:lineRule="auto"/>
        <w:contextualSpacing/>
        <w:mirrorIndents/>
        <w:jc w:val="center"/>
        <w:rPr>
          <w:bCs/>
          <w:sz w:val="24"/>
          <w:szCs w:val="24"/>
        </w:rPr>
      </w:pPr>
      <w:r w:rsidRPr="00D4660D">
        <w:rPr>
          <w:noProof/>
        </w:rPr>
        <w:drawing>
          <wp:inline distT="0" distB="0" distL="0" distR="0" wp14:anchorId="44F7A6D5" wp14:editId="6BC81C5B">
            <wp:extent cx="5664200" cy="1515533"/>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64200" cy="1515533"/>
                    </a:xfrm>
                    <a:prstGeom prst="rect">
                      <a:avLst/>
                    </a:prstGeom>
                    <a:noFill/>
                    <a:ln>
                      <a:noFill/>
                    </a:ln>
                  </pic:spPr>
                </pic:pic>
              </a:graphicData>
            </a:graphic>
          </wp:inline>
        </w:drawing>
      </w:r>
    </w:p>
    <w:p w:rsidR="00E675C0" w:rsidRPr="003F31D8" w:rsidRDefault="003F31D8" w:rsidP="004E6696">
      <w:pPr>
        <w:spacing w:after="0" w:line="240" w:lineRule="auto"/>
        <w:contextualSpacing/>
        <w:mirrorIndents/>
        <w:jc w:val="both"/>
        <w:rPr>
          <w:bCs/>
        </w:rPr>
      </w:pPr>
      <w:r w:rsidRPr="003F31D8">
        <w:rPr>
          <w:bCs/>
        </w:rPr>
        <w:t xml:space="preserve"> </w:t>
      </w:r>
      <w:r w:rsidR="009278EB">
        <w:rPr>
          <w:bCs/>
        </w:rPr>
        <w:t xml:space="preserve">    </w:t>
      </w:r>
      <w:r w:rsidR="000030E3">
        <w:rPr>
          <w:bCs/>
        </w:rPr>
        <w:t xml:space="preserve">  </w:t>
      </w:r>
      <w:r w:rsidR="009278EB">
        <w:rPr>
          <w:bCs/>
        </w:rPr>
        <w:t xml:space="preserve"> </w:t>
      </w:r>
      <w:r w:rsidRPr="003F31D8">
        <w:rPr>
          <w:bCs/>
        </w:rPr>
        <w:t>Source</w:t>
      </w:r>
      <w:r w:rsidR="0048146C">
        <w:rPr>
          <w:bCs/>
        </w:rPr>
        <w:t>: Tanzania authorities</w:t>
      </w:r>
    </w:p>
    <w:p w:rsidR="00061A94" w:rsidRDefault="00061A94" w:rsidP="00D934DC">
      <w:pPr>
        <w:pStyle w:val="Caption"/>
        <w:spacing w:after="120"/>
        <w:ind w:left="450"/>
        <w:jc w:val="center"/>
        <w:rPr>
          <w:color w:val="auto"/>
          <w:sz w:val="22"/>
          <w:szCs w:val="22"/>
        </w:rPr>
      </w:pPr>
      <w:bookmarkStart w:id="15" w:name="_Ref371079839"/>
      <w:bookmarkStart w:id="16" w:name="_Ref371664808"/>
    </w:p>
    <w:p w:rsidR="00240265" w:rsidRPr="00857A96" w:rsidRDefault="00240265" w:rsidP="00D934DC">
      <w:pPr>
        <w:pStyle w:val="Caption"/>
        <w:spacing w:after="120"/>
        <w:ind w:left="450"/>
        <w:jc w:val="center"/>
        <w:rPr>
          <w:b w:val="0"/>
          <w:bCs w:val="0"/>
          <w:color w:val="auto"/>
          <w:sz w:val="22"/>
          <w:szCs w:val="22"/>
        </w:rPr>
      </w:pPr>
      <w:r w:rsidRPr="00857A96">
        <w:rPr>
          <w:color w:val="auto"/>
          <w:sz w:val="22"/>
          <w:szCs w:val="22"/>
        </w:rPr>
        <w:t xml:space="preserve">Table </w:t>
      </w:r>
      <w:r w:rsidRPr="00857A96">
        <w:rPr>
          <w:color w:val="auto"/>
          <w:sz w:val="22"/>
          <w:szCs w:val="22"/>
        </w:rPr>
        <w:fldChar w:fldCharType="begin"/>
      </w:r>
      <w:r w:rsidRPr="00857A96">
        <w:rPr>
          <w:color w:val="auto"/>
          <w:sz w:val="22"/>
          <w:szCs w:val="22"/>
        </w:rPr>
        <w:instrText xml:space="preserve"> SEQ Table \* ARABIC </w:instrText>
      </w:r>
      <w:r w:rsidRPr="00857A96">
        <w:rPr>
          <w:color w:val="auto"/>
          <w:sz w:val="22"/>
          <w:szCs w:val="22"/>
        </w:rPr>
        <w:fldChar w:fldCharType="separate"/>
      </w:r>
      <w:r w:rsidR="005B207F">
        <w:rPr>
          <w:noProof/>
          <w:color w:val="auto"/>
          <w:sz w:val="22"/>
          <w:szCs w:val="22"/>
        </w:rPr>
        <w:t>11</w:t>
      </w:r>
      <w:r w:rsidRPr="00857A96">
        <w:rPr>
          <w:color w:val="auto"/>
          <w:sz w:val="22"/>
          <w:szCs w:val="22"/>
        </w:rPr>
        <w:fldChar w:fldCharType="end"/>
      </w:r>
      <w:bookmarkEnd w:id="15"/>
      <w:bookmarkEnd w:id="16"/>
      <w:r w:rsidRPr="00857A96">
        <w:rPr>
          <w:color w:val="auto"/>
          <w:sz w:val="22"/>
          <w:szCs w:val="22"/>
        </w:rPr>
        <w:t xml:space="preserve">: Trends in </w:t>
      </w:r>
      <w:r w:rsidR="00E95C6A">
        <w:rPr>
          <w:color w:val="auto"/>
          <w:sz w:val="22"/>
          <w:szCs w:val="22"/>
        </w:rPr>
        <w:t xml:space="preserve">approved </w:t>
      </w:r>
      <w:r w:rsidRPr="00857A96">
        <w:rPr>
          <w:color w:val="auto"/>
          <w:sz w:val="22"/>
          <w:szCs w:val="22"/>
        </w:rPr>
        <w:t xml:space="preserve">budget allocations to MKUKUTA </w:t>
      </w:r>
      <w:r>
        <w:rPr>
          <w:color w:val="auto"/>
          <w:sz w:val="22"/>
          <w:szCs w:val="22"/>
        </w:rPr>
        <w:t>clusters</w:t>
      </w:r>
    </w:p>
    <w:p w:rsidR="00240265" w:rsidRPr="00CF2BA5" w:rsidRDefault="009278EB" w:rsidP="00DA05F0">
      <w:pPr>
        <w:spacing w:after="0" w:line="240" w:lineRule="auto"/>
        <w:contextualSpacing/>
        <w:mirrorIndents/>
        <w:jc w:val="center"/>
        <w:rPr>
          <w:bCs/>
          <w:sz w:val="24"/>
          <w:szCs w:val="24"/>
        </w:rPr>
      </w:pPr>
      <w:r w:rsidRPr="009278EB">
        <w:rPr>
          <w:noProof/>
        </w:rPr>
        <w:drawing>
          <wp:inline distT="0" distB="0" distL="0" distR="0" wp14:anchorId="76F4CD3C" wp14:editId="28727281">
            <wp:extent cx="5520266" cy="1236133"/>
            <wp:effectExtent l="0" t="0" r="4445"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46404" cy="1241986"/>
                    </a:xfrm>
                    <a:prstGeom prst="rect">
                      <a:avLst/>
                    </a:prstGeom>
                    <a:noFill/>
                    <a:ln>
                      <a:noFill/>
                    </a:ln>
                  </pic:spPr>
                </pic:pic>
              </a:graphicData>
            </a:graphic>
          </wp:inline>
        </w:drawing>
      </w:r>
    </w:p>
    <w:p w:rsidR="00CF2BA5" w:rsidRDefault="00DA05F0" w:rsidP="00CF2BA5">
      <w:pPr>
        <w:spacing w:after="0" w:line="240" w:lineRule="auto"/>
        <w:contextualSpacing/>
        <w:mirrorIndents/>
        <w:jc w:val="both"/>
        <w:rPr>
          <w:rFonts w:cs="Calibri"/>
          <w:bCs/>
        </w:rPr>
      </w:pPr>
      <w:r>
        <w:rPr>
          <w:rFonts w:cs="Calibri"/>
          <w:bCs/>
        </w:rPr>
        <w:t xml:space="preserve">     </w:t>
      </w:r>
      <w:r w:rsidR="0048146C">
        <w:rPr>
          <w:rFonts w:cs="Calibri"/>
          <w:bCs/>
        </w:rPr>
        <w:t xml:space="preserve">  </w:t>
      </w:r>
      <w:r>
        <w:rPr>
          <w:rFonts w:cs="Calibri"/>
          <w:bCs/>
        </w:rPr>
        <w:t>Source:</w:t>
      </w:r>
      <w:r w:rsidR="0048146C">
        <w:rPr>
          <w:rFonts w:cs="Calibri"/>
          <w:bCs/>
        </w:rPr>
        <w:t xml:space="preserve">  Ministry of Finance and World Bank estimates</w:t>
      </w:r>
    </w:p>
    <w:p w:rsidR="000030E3" w:rsidRPr="000030E3" w:rsidRDefault="000030E3" w:rsidP="000030E3">
      <w:pPr>
        <w:spacing w:after="0" w:line="240" w:lineRule="auto"/>
        <w:contextualSpacing/>
        <w:mirrorIndents/>
        <w:jc w:val="both"/>
        <w:rPr>
          <w:sz w:val="24"/>
          <w:szCs w:val="24"/>
        </w:rPr>
      </w:pPr>
    </w:p>
    <w:p w:rsidR="00061A94" w:rsidRPr="005C6263" w:rsidRDefault="00061A94" w:rsidP="00A516DF">
      <w:pPr>
        <w:numPr>
          <w:ilvl w:val="0"/>
          <w:numId w:val="30"/>
        </w:numPr>
        <w:tabs>
          <w:tab w:val="num" w:pos="720"/>
        </w:tabs>
        <w:spacing w:after="120" w:line="240" w:lineRule="auto"/>
        <w:ind w:left="0" w:firstLine="0"/>
        <w:contextualSpacing/>
        <w:mirrorIndents/>
        <w:jc w:val="both"/>
      </w:pPr>
      <w:r w:rsidRPr="00A516DF">
        <w:rPr>
          <w:b/>
          <w:sz w:val="24"/>
          <w:szCs w:val="24"/>
        </w:rPr>
        <w:t>The continued focus on infrastructure investment has seen a significant increase in the share of budget allocations going to cluster 1 (economic growth and reduction of poverty) in 2013/14 compared to 2012/13 but remains lower than in 2011/12 and 2012/13</w:t>
      </w:r>
      <w:r w:rsidRPr="000E6920">
        <w:rPr>
          <w:rStyle w:val="FootnoteReference"/>
          <w:rFonts w:cs="Calibri"/>
          <w:b/>
          <w:bCs/>
          <w:sz w:val="24"/>
          <w:szCs w:val="24"/>
        </w:rPr>
        <w:footnoteReference w:id="3"/>
      </w:r>
      <w:r w:rsidRPr="00A516DF">
        <w:rPr>
          <w:b/>
          <w:sz w:val="24"/>
          <w:szCs w:val="24"/>
        </w:rPr>
        <w:t>.</w:t>
      </w:r>
      <w:r w:rsidRPr="00A516DF">
        <w:rPr>
          <w:sz w:val="24"/>
          <w:szCs w:val="24"/>
        </w:rPr>
        <w:t xml:space="preserve"> Cluster 1 is now consuming about 41 percent of all MKUKUTA allocations, well above the cluster 2 (social wellbeing), and up from 33 percent in 2007/8</w:t>
      </w:r>
      <w:r w:rsidR="00A516DF">
        <w:rPr>
          <w:sz w:val="24"/>
          <w:szCs w:val="24"/>
        </w:rPr>
        <w:t xml:space="preserve"> (</w:t>
      </w:r>
      <w:r w:rsidR="00A516DF">
        <w:rPr>
          <w:sz w:val="24"/>
          <w:szCs w:val="24"/>
        </w:rPr>
        <w:fldChar w:fldCharType="begin"/>
      </w:r>
      <w:r w:rsidR="00A516DF">
        <w:rPr>
          <w:sz w:val="24"/>
          <w:szCs w:val="24"/>
        </w:rPr>
        <w:instrText xml:space="preserve"> REF _Ref371345775 \h </w:instrText>
      </w:r>
      <w:r w:rsidR="00A516DF">
        <w:rPr>
          <w:sz w:val="24"/>
          <w:szCs w:val="24"/>
        </w:rPr>
      </w:r>
      <w:r w:rsidR="00A516DF">
        <w:rPr>
          <w:sz w:val="24"/>
          <w:szCs w:val="24"/>
        </w:rPr>
        <w:fldChar w:fldCharType="separate"/>
      </w:r>
      <w:r w:rsidR="005B207F" w:rsidRPr="00A17F76">
        <w:t xml:space="preserve">Table </w:t>
      </w:r>
      <w:r w:rsidR="005B207F">
        <w:rPr>
          <w:noProof/>
        </w:rPr>
        <w:t>12</w:t>
      </w:r>
      <w:r w:rsidR="00A516DF">
        <w:rPr>
          <w:sz w:val="24"/>
          <w:szCs w:val="24"/>
        </w:rPr>
        <w:fldChar w:fldCharType="end"/>
      </w:r>
      <w:r w:rsidR="00A516DF">
        <w:rPr>
          <w:sz w:val="24"/>
          <w:szCs w:val="24"/>
        </w:rPr>
        <w:t>).</w:t>
      </w:r>
      <w:r w:rsidRPr="00A516DF">
        <w:rPr>
          <w:sz w:val="24"/>
          <w:szCs w:val="24"/>
        </w:rPr>
        <w:t xml:space="preserve"> Such a development is consistent with FYDP; which considers increased infrastructure investment, especially in energy and transport, as critical for unlocking growth potentials in Tanzania. The increased share of cluster 1 is largely driven by increased allocations to energy, roads, </w:t>
      </w:r>
      <w:r w:rsidR="002F0A6D" w:rsidRPr="00A516DF">
        <w:rPr>
          <w:sz w:val="24"/>
          <w:szCs w:val="24"/>
        </w:rPr>
        <w:t xml:space="preserve">and </w:t>
      </w:r>
      <w:r w:rsidRPr="00A516DF">
        <w:rPr>
          <w:sz w:val="24"/>
          <w:szCs w:val="24"/>
        </w:rPr>
        <w:t xml:space="preserve">railways sectors. Nonetheless, the </w:t>
      </w:r>
      <w:r w:rsidRPr="00A516DF">
        <w:rPr>
          <w:sz w:val="24"/>
          <w:szCs w:val="24"/>
        </w:rPr>
        <w:lastRenderedPageBreak/>
        <w:t xml:space="preserve">increase may not bring new investments or improved maintenance as part of such increase will be used to clear arrears. </w:t>
      </w:r>
    </w:p>
    <w:p w:rsidR="00061A94" w:rsidRPr="00061A94" w:rsidRDefault="00061A94" w:rsidP="00061A94">
      <w:pPr>
        <w:spacing w:after="0" w:line="240" w:lineRule="auto"/>
        <w:contextualSpacing/>
        <w:mirrorIndents/>
        <w:jc w:val="both"/>
        <w:rPr>
          <w:sz w:val="24"/>
          <w:szCs w:val="24"/>
        </w:rPr>
      </w:pPr>
    </w:p>
    <w:p w:rsidR="005B28E5" w:rsidRPr="005B28E5" w:rsidRDefault="00D9030F" w:rsidP="00BF0DCD">
      <w:pPr>
        <w:numPr>
          <w:ilvl w:val="0"/>
          <w:numId w:val="30"/>
        </w:numPr>
        <w:tabs>
          <w:tab w:val="num" w:pos="720"/>
        </w:tabs>
        <w:spacing w:after="0" w:line="240" w:lineRule="auto"/>
        <w:ind w:left="0" w:firstLine="0"/>
        <w:contextualSpacing/>
        <w:mirrorIndents/>
        <w:jc w:val="both"/>
        <w:rPr>
          <w:sz w:val="24"/>
          <w:szCs w:val="24"/>
        </w:rPr>
      </w:pPr>
      <w:r>
        <w:rPr>
          <w:b/>
          <w:sz w:val="24"/>
          <w:szCs w:val="24"/>
        </w:rPr>
        <w:t xml:space="preserve">Improved budget execution will guarantee </w:t>
      </w:r>
      <w:r w:rsidR="005B28E5" w:rsidRPr="000E6920">
        <w:rPr>
          <w:b/>
          <w:sz w:val="24"/>
          <w:szCs w:val="24"/>
        </w:rPr>
        <w:t>the credibility of increased budget allocations in favor of priorities of the MKUKUTA and FYDP</w:t>
      </w:r>
      <w:r w:rsidR="005B28E5" w:rsidRPr="000E6920">
        <w:rPr>
          <w:sz w:val="24"/>
          <w:szCs w:val="24"/>
        </w:rPr>
        <w:t>.</w:t>
      </w:r>
      <w:r w:rsidR="00E95C6A">
        <w:rPr>
          <w:sz w:val="24"/>
          <w:szCs w:val="24"/>
        </w:rPr>
        <w:t xml:space="preserve">  </w:t>
      </w:r>
      <w:r w:rsidR="00BF5698">
        <w:rPr>
          <w:sz w:val="24"/>
          <w:szCs w:val="24"/>
        </w:rPr>
        <w:t xml:space="preserve">Budget execution remains weak especially in sectors which have large share of capital investment and this may have impact in changing MKUKUTA shares in the executed budget. </w:t>
      </w:r>
      <w:r w:rsidR="005B28E5" w:rsidRPr="000E6920">
        <w:rPr>
          <w:sz w:val="24"/>
          <w:szCs w:val="24"/>
        </w:rPr>
        <w:t xml:space="preserve">For example, in 2012/13, the overall budget was under executed by 10 percent, with the development budget being under-executed by 22 percent while recurrent budgets being under-executed by 6 percent. </w:t>
      </w:r>
      <w:r w:rsidR="005B28E5" w:rsidRPr="002B3514">
        <w:rPr>
          <w:b/>
          <w:bCs/>
          <w:color w:val="4F81BD" w:themeColor="accent1"/>
          <w:sz w:val="24"/>
          <w:szCs w:val="24"/>
        </w:rPr>
        <w:fldChar w:fldCharType="begin"/>
      </w:r>
      <w:r w:rsidR="005B28E5" w:rsidRPr="002B3514">
        <w:rPr>
          <w:sz w:val="24"/>
          <w:szCs w:val="24"/>
        </w:rPr>
        <w:instrText xml:space="preserve"> REF _Ref371083232 \h </w:instrText>
      </w:r>
      <w:r w:rsidR="005B28E5" w:rsidRPr="002B3514">
        <w:rPr>
          <w:b/>
          <w:bCs/>
          <w:color w:val="4F81BD" w:themeColor="accent1"/>
          <w:sz w:val="24"/>
          <w:szCs w:val="24"/>
        </w:rPr>
        <w:instrText xml:space="preserve"> \* MERGEFORMAT </w:instrText>
      </w:r>
      <w:r w:rsidR="005B28E5" w:rsidRPr="002B3514">
        <w:rPr>
          <w:b/>
          <w:bCs/>
          <w:color w:val="4F81BD" w:themeColor="accent1"/>
          <w:sz w:val="24"/>
          <w:szCs w:val="24"/>
        </w:rPr>
      </w:r>
      <w:r w:rsidR="005B28E5" w:rsidRPr="002B3514">
        <w:rPr>
          <w:b/>
          <w:bCs/>
          <w:color w:val="4F81BD" w:themeColor="accent1"/>
          <w:sz w:val="24"/>
          <w:szCs w:val="24"/>
        </w:rPr>
        <w:fldChar w:fldCharType="separate"/>
      </w:r>
      <w:r w:rsidR="005B207F" w:rsidRPr="005B207F">
        <w:rPr>
          <w:sz w:val="24"/>
          <w:szCs w:val="24"/>
        </w:rPr>
        <w:t>Figure</w:t>
      </w:r>
      <w:r w:rsidR="005B207F" w:rsidRPr="005B207F">
        <w:rPr>
          <w:noProof/>
          <w:sz w:val="24"/>
          <w:szCs w:val="24"/>
        </w:rPr>
        <w:t xml:space="preserve"> 7</w:t>
      </w:r>
      <w:r w:rsidR="005B28E5" w:rsidRPr="002B3514">
        <w:rPr>
          <w:sz w:val="24"/>
          <w:szCs w:val="24"/>
        </w:rPr>
        <w:fldChar w:fldCharType="end"/>
      </w:r>
      <w:r w:rsidR="005B28E5" w:rsidRPr="005B28E5">
        <w:rPr>
          <w:sz w:val="24"/>
          <w:szCs w:val="24"/>
        </w:rPr>
        <w:t xml:space="preserve"> indicates that key MDAs and Regions (including LGAs) which are the main implementers of MKUKUTA and FYDP priority programs significantly under-executed their budgets while some of non-MKUKUTA and non-FYDP significantly over-executed their budget in 2012/13. Not only does this under-execution put</w:t>
      </w:r>
      <w:r w:rsidR="00D60F30">
        <w:rPr>
          <w:sz w:val="24"/>
          <w:szCs w:val="24"/>
        </w:rPr>
        <w:t>s</w:t>
      </w:r>
      <w:r w:rsidR="005B28E5" w:rsidRPr="005B28E5">
        <w:rPr>
          <w:sz w:val="24"/>
          <w:szCs w:val="24"/>
        </w:rPr>
        <w:t xml:space="preserve"> serious concern on the credibility of budget allocations but also on the implementation of related programs and projects. Unless this challenge is fully addressed it will not be a surprise to see some of the action plans under BRN facing implementation difficulties.</w:t>
      </w:r>
    </w:p>
    <w:p w:rsidR="005B28E5" w:rsidRPr="00CF2BA5" w:rsidRDefault="005B28E5" w:rsidP="00CF2BA5">
      <w:pPr>
        <w:spacing w:after="0" w:line="240" w:lineRule="auto"/>
        <w:contextualSpacing/>
        <w:mirrorIndents/>
        <w:jc w:val="both"/>
        <w:rPr>
          <w:bCs/>
          <w:sz w:val="24"/>
          <w:szCs w:val="24"/>
        </w:rPr>
      </w:pPr>
    </w:p>
    <w:p w:rsidR="00B0518F" w:rsidRDefault="00B0518F" w:rsidP="00B0518F">
      <w:pPr>
        <w:pStyle w:val="Caption"/>
        <w:spacing w:after="120"/>
        <w:jc w:val="center"/>
        <w:rPr>
          <w:color w:val="auto"/>
          <w:sz w:val="22"/>
          <w:szCs w:val="22"/>
        </w:rPr>
      </w:pPr>
      <w:bookmarkStart w:id="17" w:name="_Ref371083232"/>
      <w:r w:rsidRPr="004A770B">
        <w:rPr>
          <w:color w:val="auto"/>
          <w:sz w:val="22"/>
          <w:szCs w:val="22"/>
        </w:rPr>
        <w:t xml:space="preserve">Figure </w:t>
      </w:r>
      <w:r w:rsidRPr="004A770B">
        <w:rPr>
          <w:color w:val="auto"/>
          <w:sz w:val="22"/>
          <w:szCs w:val="22"/>
        </w:rPr>
        <w:fldChar w:fldCharType="begin"/>
      </w:r>
      <w:r w:rsidRPr="004A770B">
        <w:rPr>
          <w:color w:val="auto"/>
          <w:sz w:val="22"/>
          <w:szCs w:val="22"/>
        </w:rPr>
        <w:instrText xml:space="preserve"> SEQ Figure \* ARABIC </w:instrText>
      </w:r>
      <w:r w:rsidRPr="004A770B">
        <w:rPr>
          <w:color w:val="auto"/>
          <w:sz w:val="22"/>
          <w:szCs w:val="22"/>
        </w:rPr>
        <w:fldChar w:fldCharType="separate"/>
      </w:r>
      <w:r w:rsidR="005B207F">
        <w:rPr>
          <w:noProof/>
          <w:color w:val="auto"/>
          <w:sz w:val="22"/>
          <w:szCs w:val="22"/>
        </w:rPr>
        <w:t>7</w:t>
      </w:r>
      <w:r w:rsidRPr="004A770B">
        <w:rPr>
          <w:color w:val="auto"/>
          <w:sz w:val="22"/>
          <w:szCs w:val="22"/>
        </w:rPr>
        <w:fldChar w:fldCharType="end"/>
      </w:r>
      <w:bookmarkEnd w:id="17"/>
      <w:r w:rsidRPr="004A770B">
        <w:rPr>
          <w:color w:val="auto"/>
          <w:sz w:val="22"/>
          <w:szCs w:val="22"/>
        </w:rPr>
        <w:t xml:space="preserve">: </w:t>
      </w:r>
      <w:r w:rsidR="00BC49F9">
        <w:rPr>
          <w:color w:val="auto"/>
          <w:sz w:val="22"/>
          <w:szCs w:val="22"/>
        </w:rPr>
        <w:t>Budget execution t</w:t>
      </w:r>
      <w:r>
        <w:rPr>
          <w:color w:val="auto"/>
          <w:sz w:val="22"/>
          <w:szCs w:val="22"/>
        </w:rPr>
        <w:t xml:space="preserve">rends in </w:t>
      </w:r>
      <w:r w:rsidR="00BC49F9">
        <w:rPr>
          <w:color w:val="auto"/>
          <w:sz w:val="22"/>
          <w:szCs w:val="22"/>
        </w:rPr>
        <w:t>selected MDAs &amp; Regions</w:t>
      </w:r>
      <w:r>
        <w:rPr>
          <w:color w:val="auto"/>
          <w:sz w:val="22"/>
          <w:szCs w:val="22"/>
        </w:rPr>
        <w:t xml:space="preserve"> in 2012/13</w:t>
      </w:r>
    </w:p>
    <w:p w:rsidR="00B0518F" w:rsidRDefault="00B0518F" w:rsidP="00DA05F0">
      <w:pPr>
        <w:pStyle w:val="Caption"/>
        <w:spacing w:after="0"/>
        <w:jc w:val="center"/>
        <w:rPr>
          <w:sz w:val="24"/>
          <w:szCs w:val="24"/>
        </w:rPr>
      </w:pPr>
      <w:r w:rsidRPr="00B0518F">
        <w:rPr>
          <w:noProof/>
        </w:rPr>
        <w:drawing>
          <wp:inline distT="0" distB="0" distL="0" distR="0" wp14:anchorId="499F9482" wp14:editId="0A110A4F">
            <wp:extent cx="4614333" cy="241300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15573" cy="2413649"/>
                    </a:xfrm>
                    <a:prstGeom prst="rect">
                      <a:avLst/>
                    </a:prstGeom>
                    <a:noFill/>
                    <a:ln>
                      <a:noFill/>
                    </a:ln>
                  </pic:spPr>
                </pic:pic>
              </a:graphicData>
            </a:graphic>
          </wp:inline>
        </w:drawing>
      </w:r>
    </w:p>
    <w:p w:rsidR="00DA05F0" w:rsidRPr="00DA05F0" w:rsidRDefault="00DA05F0" w:rsidP="008C1DC9">
      <w:pPr>
        <w:spacing w:after="0" w:line="240" w:lineRule="auto"/>
      </w:pPr>
      <w:r>
        <w:rPr>
          <w:rFonts w:cs="Calibri"/>
          <w:bCs/>
        </w:rPr>
        <w:t xml:space="preserve">                     Source:</w:t>
      </w:r>
      <w:r w:rsidR="00DD4729">
        <w:rPr>
          <w:rFonts w:cs="Calibri"/>
          <w:bCs/>
        </w:rPr>
        <w:t xml:space="preserve">  Ministry of Finance and World Bank estimates</w:t>
      </w:r>
    </w:p>
    <w:p w:rsidR="007D5DB9" w:rsidRPr="000E6920" w:rsidRDefault="007D5DB9" w:rsidP="008C1DC9">
      <w:pPr>
        <w:spacing w:after="0" w:line="240" w:lineRule="auto"/>
        <w:contextualSpacing/>
        <w:mirrorIndents/>
        <w:jc w:val="both"/>
        <w:rPr>
          <w:bCs/>
          <w:sz w:val="24"/>
          <w:szCs w:val="24"/>
        </w:rPr>
      </w:pPr>
    </w:p>
    <w:p w:rsidR="00714B53" w:rsidRPr="000E6920" w:rsidRDefault="005118CE" w:rsidP="00225670">
      <w:pPr>
        <w:numPr>
          <w:ilvl w:val="0"/>
          <w:numId w:val="30"/>
        </w:numPr>
        <w:tabs>
          <w:tab w:val="num" w:pos="720"/>
        </w:tabs>
        <w:spacing w:after="0" w:line="240" w:lineRule="auto"/>
        <w:ind w:left="0" w:firstLine="0"/>
        <w:contextualSpacing/>
        <w:mirrorIndents/>
        <w:jc w:val="both"/>
        <w:rPr>
          <w:bCs/>
          <w:sz w:val="24"/>
          <w:szCs w:val="24"/>
        </w:rPr>
      </w:pPr>
      <w:r w:rsidRPr="000E6920">
        <w:rPr>
          <w:b/>
          <w:sz w:val="24"/>
          <w:szCs w:val="24"/>
        </w:rPr>
        <w:t>T</w:t>
      </w:r>
      <w:r w:rsidR="008339BC" w:rsidRPr="000E6920">
        <w:rPr>
          <w:b/>
          <w:sz w:val="24"/>
          <w:szCs w:val="24"/>
        </w:rPr>
        <w:t xml:space="preserve">here is a significant reduction in </w:t>
      </w:r>
      <w:r w:rsidR="00960D34" w:rsidRPr="000E6920">
        <w:rPr>
          <w:b/>
          <w:sz w:val="24"/>
          <w:szCs w:val="24"/>
        </w:rPr>
        <w:t xml:space="preserve">share of allocations to </w:t>
      </w:r>
      <w:r w:rsidR="008339BC" w:rsidRPr="000E6920">
        <w:rPr>
          <w:b/>
          <w:sz w:val="24"/>
          <w:szCs w:val="24"/>
        </w:rPr>
        <w:t>non</w:t>
      </w:r>
      <w:r w:rsidR="008339BC" w:rsidRPr="000E6920">
        <w:rPr>
          <w:sz w:val="24"/>
          <w:szCs w:val="24"/>
        </w:rPr>
        <w:t>-</w:t>
      </w:r>
      <w:r w:rsidR="008339BC" w:rsidRPr="000E6920">
        <w:rPr>
          <w:b/>
          <w:sz w:val="24"/>
          <w:szCs w:val="24"/>
        </w:rPr>
        <w:t xml:space="preserve">MKUKUTA </w:t>
      </w:r>
      <w:r w:rsidR="00960D34" w:rsidRPr="000E6920">
        <w:rPr>
          <w:b/>
          <w:sz w:val="24"/>
          <w:szCs w:val="24"/>
        </w:rPr>
        <w:t>spending agencies in 2013/14</w:t>
      </w:r>
      <w:r w:rsidR="008339BC" w:rsidRPr="000E6920">
        <w:rPr>
          <w:sz w:val="24"/>
          <w:szCs w:val="24"/>
        </w:rPr>
        <w:t xml:space="preserve">. </w:t>
      </w:r>
      <w:r w:rsidR="00960D34" w:rsidRPr="000E6920">
        <w:rPr>
          <w:sz w:val="24"/>
          <w:szCs w:val="24"/>
        </w:rPr>
        <w:t xml:space="preserve">This reflects the Government commitment of reducing spending in these areas in order to create budget space for spending on </w:t>
      </w:r>
      <w:r w:rsidR="007C293C" w:rsidRPr="000E6920">
        <w:rPr>
          <w:sz w:val="24"/>
          <w:szCs w:val="24"/>
        </w:rPr>
        <w:t>priority programs and projects. Despite th</w:t>
      </w:r>
      <w:r w:rsidR="0031743E" w:rsidRPr="000E6920">
        <w:rPr>
          <w:sz w:val="24"/>
          <w:szCs w:val="24"/>
        </w:rPr>
        <w:t xml:space="preserve">e decline in </w:t>
      </w:r>
      <w:r w:rsidR="007C293C" w:rsidRPr="000E6920">
        <w:rPr>
          <w:sz w:val="24"/>
          <w:szCs w:val="24"/>
        </w:rPr>
        <w:t>overall allocations for non-MKUKUTA spending areas, share of allocations for debt service continue to rise consistent with increase non –concessional borrowing.</w:t>
      </w:r>
      <w:r w:rsidR="008339BC" w:rsidRPr="000E6920">
        <w:rPr>
          <w:sz w:val="24"/>
          <w:szCs w:val="24"/>
        </w:rPr>
        <w:t xml:space="preserve"> </w:t>
      </w:r>
    </w:p>
    <w:p w:rsidR="00FD0F95" w:rsidRPr="000E6920" w:rsidRDefault="00FD0F95" w:rsidP="00EE753B">
      <w:pPr>
        <w:spacing w:after="0" w:line="240" w:lineRule="auto"/>
        <w:mirrorIndents/>
        <w:jc w:val="both"/>
        <w:rPr>
          <w:rFonts w:cs="Times New Roman"/>
          <w:sz w:val="24"/>
          <w:szCs w:val="24"/>
        </w:rPr>
      </w:pPr>
    </w:p>
    <w:p w:rsidR="004E42D5" w:rsidRPr="000E6920" w:rsidRDefault="004E42D5" w:rsidP="00C6561D">
      <w:pPr>
        <w:numPr>
          <w:ilvl w:val="0"/>
          <w:numId w:val="30"/>
        </w:numPr>
        <w:tabs>
          <w:tab w:val="num" w:pos="720"/>
        </w:tabs>
        <w:spacing w:after="0" w:line="240" w:lineRule="auto"/>
        <w:ind w:left="0" w:firstLine="0"/>
        <w:contextualSpacing/>
        <w:mirrorIndents/>
        <w:jc w:val="both"/>
        <w:rPr>
          <w:sz w:val="24"/>
          <w:szCs w:val="24"/>
        </w:rPr>
      </w:pPr>
      <w:r w:rsidRPr="000E6920">
        <w:rPr>
          <w:rFonts w:cs="Calibri"/>
          <w:b/>
          <w:sz w:val="24"/>
          <w:szCs w:val="24"/>
        </w:rPr>
        <w:t xml:space="preserve">PAF 2013 indicator: </w:t>
      </w:r>
      <w:r w:rsidR="007C293C" w:rsidRPr="000E6920">
        <w:rPr>
          <w:rFonts w:cs="Calibri"/>
          <w:b/>
          <w:sz w:val="24"/>
          <w:szCs w:val="24"/>
        </w:rPr>
        <w:t>Therefore</w:t>
      </w:r>
      <w:r w:rsidR="007D5DB9" w:rsidRPr="000E6920">
        <w:rPr>
          <w:rFonts w:cs="Calibri"/>
          <w:b/>
          <w:sz w:val="24"/>
          <w:szCs w:val="24"/>
        </w:rPr>
        <w:t xml:space="preserve">, </w:t>
      </w:r>
      <w:r w:rsidR="007D5DB9" w:rsidRPr="000E6920">
        <w:rPr>
          <w:rFonts w:cs="Calibri"/>
          <w:sz w:val="24"/>
          <w:szCs w:val="24"/>
        </w:rPr>
        <w:t xml:space="preserve">despite a large share of the 2013/14 </w:t>
      </w:r>
      <w:r w:rsidRPr="000E6920">
        <w:rPr>
          <w:rFonts w:cs="Calibri"/>
          <w:sz w:val="24"/>
          <w:szCs w:val="24"/>
        </w:rPr>
        <w:t xml:space="preserve">budget </w:t>
      </w:r>
      <w:r w:rsidR="007D5DB9" w:rsidRPr="000E6920">
        <w:rPr>
          <w:rFonts w:cs="Calibri"/>
          <w:sz w:val="24"/>
          <w:szCs w:val="24"/>
        </w:rPr>
        <w:t>being allocated for MKUKUTA and FYDP policy priorities it</w:t>
      </w:r>
      <w:r w:rsidRPr="000E6920">
        <w:rPr>
          <w:rFonts w:cs="Calibri"/>
          <w:sz w:val="24"/>
          <w:szCs w:val="24"/>
        </w:rPr>
        <w:t xml:space="preserve"> </w:t>
      </w:r>
      <w:r w:rsidR="00EE2EF7" w:rsidRPr="00376ECA">
        <w:rPr>
          <w:rFonts w:cs="Calibri"/>
          <w:sz w:val="24"/>
          <w:szCs w:val="24"/>
        </w:rPr>
        <w:t xml:space="preserve">is </w:t>
      </w:r>
      <w:r w:rsidR="007D5DB9" w:rsidRPr="00376ECA">
        <w:rPr>
          <w:rFonts w:cs="Calibri"/>
          <w:b/>
          <w:sz w:val="24"/>
          <w:szCs w:val="24"/>
        </w:rPr>
        <w:t xml:space="preserve">weakly aligned </w:t>
      </w:r>
      <w:r w:rsidRPr="00376ECA">
        <w:rPr>
          <w:rFonts w:cs="Calibri"/>
          <w:b/>
          <w:sz w:val="24"/>
          <w:szCs w:val="24"/>
        </w:rPr>
        <w:t>with policy objectives</w:t>
      </w:r>
      <w:r w:rsidRPr="00376ECA">
        <w:rPr>
          <w:rFonts w:cs="Calibri"/>
          <w:sz w:val="24"/>
          <w:szCs w:val="24"/>
        </w:rPr>
        <w:t xml:space="preserve"> </w:t>
      </w:r>
      <w:r w:rsidR="007D5DB9" w:rsidRPr="000E6920">
        <w:rPr>
          <w:rFonts w:cs="Calibri"/>
          <w:sz w:val="24"/>
          <w:szCs w:val="24"/>
        </w:rPr>
        <w:t xml:space="preserve">due to unreliability </w:t>
      </w:r>
      <w:r w:rsidR="00DC42AB">
        <w:rPr>
          <w:rFonts w:cs="Calibri"/>
          <w:sz w:val="24"/>
          <w:szCs w:val="24"/>
        </w:rPr>
        <w:t xml:space="preserve">in </w:t>
      </w:r>
      <w:r w:rsidR="00D60F30" w:rsidRPr="00DC42AB">
        <w:rPr>
          <w:rFonts w:cs="Calibri"/>
          <w:sz w:val="24"/>
          <w:szCs w:val="24"/>
        </w:rPr>
        <w:t xml:space="preserve">execution </w:t>
      </w:r>
      <w:r w:rsidR="007D5DB9" w:rsidRPr="00DC42AB">
        <w:rPr>
          <w:rFonts w:cs="Calibri"/>
          <w:sz w:val="24"/>
          <w:szCs w:val="24"/>
        </w:rPr>
        <w:t>of the resource</w:t>
      </w:r>
      <w:r w:rsidR="007D5DB9" w:rsidRPr="000E6920">
        <w:rPr>
          <w:rFonts w:cs="Calibri"/>
          <w:sz w:val="24"/>
          <w:szCs w:val="24"/>
        </w:rPr>
        <w:t xml:space="preserve"> envelope in addition to significant underfunding of BRN action plans.</w:t>
      </w:r>
    </w:p>
    <w:p w:rsidR="004E42D5" w:rsidRPr="0006335A" w:rsidRDefault="004E42D5" w:rsidP="003673EE">
      <w:pPr>
        <w:pStyle w:val="ListParagraph"/>
        <w:spacing w:after="0" w:line="240" w:lineRule="auto"/>
        <w:ind w:left="0"/>
        <w:mirrorIndents/>
        <w:jc w:val="both"/>
        <w:rPr>
          <w:rFonts w:cs="Times New Roman"/>
          <w:sz w:val="24"/>
          <w:szCs w:val="24"/>
        </w:rPr>
      </w:pPr>
    </w:p>
    <w:p w:rsidR="00016CCE" w:rsidRPr="00BA45FF" w:rsidRDefault="004334D2" w:rsidP="003D7A2D">
      <w:pPr>
        <w:pStyle w:val="ListParagraph"/>
        <w:numPr>
          <w:ilvl w:val="0"/>
          <w:numId w:val="13"/>
        </w:numPr>
        <w:spacing w:after="0" w:line="240" w:lineRule="auto"/>
        <w:ind w:left="0" w:firstLine="0"/>
        <w:mirrorIndents/>
        <w:jc w:val="both"/>
        <w:rPr>
          <w:rFonts w:cs="Times New Roman"/>
          <w:sz w:val="24"/>
          <w:szCs w:val="24"/>
        </w:rPr>
      </w:pPr>
      <w:r w:rsidRPr="00BA45FF">
        <w:rPr>
          <w:rFonts w:cs="Times New Roman"/>
          <w:b/>
          <w:i/>
          <w:sz w:val="24"/>
          <w:szCs w:val="24"/>
        </w:rPr>
        <w:lastRenderedPageBreak/>
        <w:t>Local government authorities</w:t>
      </w:r>
      <w:r w:rsidRPr="00BA45FF">
        <w:rPr>
          <w:rFonts w:cs="Times New Roman"/>
          <w:b/>
          <w:sz w:val="24"/>
          <w:szCs w:val="24"/>
        </w:rPr>
        <w:t xml:space="preserve"> (LGAs)</w:t>
      </w:r>
      <w:r w:rsidR="000415C2" w:rsidRPr="00BA45FF">
        <w:rPr>
          <w:rFonts w:cs="Times New Roman"/>
          <w:b/>
          <w:sz w:val="24"/>
          <w:szCs w:val="24"/>
        </w:rPr>
        <w:t xml:space="preserve"> </w:t>
      </w:r>
    </w:p>
    <w:p w:rsidR="000415C2" w:rsidRPr="00C13D2D" w:rsidRDefault="000415C2" w:rsidP="003D7A2D">
      <w:pPr>
        <w:spacing w:after="0" w:line="240" w:lineRule="auto"/>
        <w:contextualSpacing/>
        <w:mirrorIndents/>
        <w:jc w:val="both"/>
        <w:rPr>
          <w:rFonts w:cs="Times New Roman"/>
          <w:sz w:val="24"/>
          <w:szCs w:val="24"/>
        </w:rPr>
      </w:pPr>
    </w:p>
    <w:p w:rsidR="0006335A" w:rsidRPr="000E6920" w:rsidRDefault="00340B79" w:rsidP="000E6920">
      <w:pPr>
        <w:numPr>
          <w:ilvl w:val="0"/>
          <w:numId w:val="30"/>
        </w:numPr>
        <w:tabs>
          <w:tab w:val="num" w:pos="720"/>
        </w:tabs>
        <w:spacing w:after="0" w:line="240" w:lineRule="auto"/>
        <w:ind w:left="0" w:firstLine="0"/>
        <w:contextualSpacing/>
        <w:mirrorIndents/>
        <w:jc w:val="both"/>
        <w:rPr>
          <w:rFonts w:cs="Times New Roman"/>
          <w:sz w:val="24"/>
          <w:szCs w:val="24"/>
        </w:rPr>
      </w:pPr>
      <w:r>
        <w:rPr>
          <w:b/>
          <w:sz w:val="24"/>
          <w:szCs w:val="24"/>
        </w:rPr>
        <w:t xml:space="preserve">The </w:t>
      </w:r>
      <w:r w:rsidRPr="000E6920">
        <w:rPr>
          <w:b/>
          <w:sz w:val="24"/>
          <w:szCs w:val="24"/>
        </w:rPr>
        <w:t>fiscal</w:t>
      </w:r>
      <w:r w:rsidR="001D0C6D">
        <w:rPr>
          <w:b/>
          <w:sz w:val="24"/>
          <w:szCs w:val="24"/>
        </w:rPr>
        <w:t xml:space="preserve"> </w:t>
      </w:r>
      <w:r w:rsidR="0031743E" w:rsidRPr="000E6920">
        <w:rPr>
          <w:b/>
          <w:sz w:val="24"/>
          <w:szCs w:val="24"/>
        </w:rPr>
        <w:t>d</w:t>
      </w:r>
      <w:r w:rsidR="0006335A" w:rsidRPr="000E6920">
        <w:rPr>
          <w:b/>
          <w:sz w:val="24"/>
          <w:szCs w:val="24"/>
        </w:rPr>
        <w:t>ecentralization efforts are being sustained through steadily increas</w:t>
      </w:r>
      <w:r w:rsidR="0031743E" w:rsidRPr="000E6920">
        <w:rPr>
          <w:b/>
          <w:sz w:val="24"/>
          <w:szCs w:val="24"/>
        </w:rPr>
        <w:t>ing</w:t>
      </w:r>
      <w:r w:rsidR="0006335A" w:rsidRPr="000E6920">
        <w:rPr>
          <w:b/>
          <w:sz w:val="24"/>
          <w:szCs w:val="24"/>
        </w:rPr>
        <w:t xml:space="preserve"> budget allocations </w:t>
      </w:r>
      <w:r w:rsidR="001D0C6D">
        <w:rPr>
          <w:b/>
          <w:sz w:val="24"/>
          <w:szCs w:val="24"/>
        </w:rPr>
        <w:t xml:space="preserve">toward LGAs </w:t>
      </w:r>
      <w:r w:rsidR="0006335A" w:rsidRPr="000E6920">
        <w:rPr>
          <w:b/>
          <w:sz w:val="24"/>
          <w:szCs w:val="24"/>
        </w:rPr>
        <w:t>but low execution rates are taming these efforts</w:t>
      </w:r>
      <w:r w:rsidR="0006335A" w:rsidRPr="000E6920">
        <w:rPr>
          <w:sz w:val="24"/>
          <w:szCs w:val="24"/>
        </w:rPr>
        <w:t xml:space="preserve">. The positive trend of fiscal decentralization in the budget allocation is sustained in 2013/14 with LGAs projected to receive 28.6 percent of the total budget resources, up from 26.4 percent in 2012/13. In absolute terms, this amounted to Tsh 3.8 trillion and represented an increase of 15.9 percent over the previous year’s allocation. The increased allocations for LGAs are driven by increased allocation for salary and wages and development spending, mostly directed to education and </w:t>
      </w:r>
      <w:r w:rsidR="00E5783A" w:rsidRPr="000E6920">
        <w:rPr>
          <w:sz w:val="24"/>
          <w:szCs w:val="24"/>
        </w:rPr>
        <w:t>water</w:t>
      </w:r>
      <w:r w:rsidR="0006335A" w:rsidRPr="000E6920">
        <w:rPr>
          <w:sz w:val="24"/>
          <w:szCs w:val="24"/>
        </w:rPr>
        <w:t xml:space="preserve"> sectors. Nonetheless, </w:t>
      </w:r>
      <w:r w:rsidR="001D0C6D">
        <w:rPr>
          <w:sz w:val="24"/>
          <w:szCs w:val="24"/>
        </w:rPr>
        <w:t xml:space="preserve">in recent years, </w:t>
      </w:r>
      <w:r w:rsidR="0006335A" w:rsidRPr="000E6920">
        <w:rPr>
          <w:sz w:val="24"/>
          <w:szCs w:val="24"/>
        </w:rPr>
        <w:t xml:space="preserve">efforts in budget </w:t>
      </w:r>
      <w:r>
        <w:rPr>
          <w:sz w:val="24"/>
          <w:szCs w:val="24"/>
        </w:rPr>
        <w:t xml:space="preserve">decentralization </w:t>
      </w:r>
      <w:r w:rsidRPr="000E6920">
        <w:rPr>
          <w:sz w:val="24"/>
          <w:szCs w:val="24"/>
        </w:rPr>
        <w:t>have</w:t>
      </w:r>
      <w:r w:rsidR="001D0C6D">
        <w:rPr>
          <w:sz w:val="24"/>
          <w:szCs w:val="24"/>
        </w:rPr>
        <w:t xml:space="preserve"> </w:t>
      </w:r>
      <w:r w:rsidR="0006335A" w:rsidRPr="000E6920">
        <w:rPr>
          <w:sz w:val="24"/>
          <w:szCs w:val="24"/>
        </w:rPr>
        <w:t xml:space="preserve">not being matched </w:t>
      </w:r>
      <w:r w:rsidR="00160A0E">
        <w:rPr>
          <w:sz w:val="24"/>
          <w:szCs w:val="24"/>
        </w:rPr>
        <w:t>on the grounds</w:t>
      </w:r>
      <w:r w:rsidR="0006335A" w:rsidRPr="000E6920">
        <w:rPr>
          <w:sz w:val="24"/>
          <w:szCs w:val="24"/>
        </w:rPr>
        <w:t xml:space="preserve">. For example by end of FY 2012/13, only 68 percent of funds budgeted for development and non-salary activities </w:t>
      </w:r>
      <w:r w:rsidR="00160A0E">
        <w:rPr>
          <w:sz w:val="24"/>
          <w:szCs w:val="24"/>
        </w:rPr>
        <w:t xml:space="preserve">in LGAs </w:t>
      </w:r>
      <w:r w:rsidR="0006335A" w:rsidRPr="000E6920">
        <w:rPr>
          <w:sz w:val="24"/>
          <w:szCs w:val="24"/>
        </w:rPr>
        <w:t>were released by the Treasury. Non-salary funds performed poorly with only 58 percent of the budgeted funds being released to the LGAs. This affect</w:t>
      </w:r>
      <w:r w:rsidR="0031743E" w:rsidRPr="000E6920">
        <w:rPr>
          <w:sz w:val="24"/>
          <w:szCs w:val="24"/>
        </w:rPr>
        <w:t>s</w:t>
      </w:r>
      <w:r w:rsidR="0006335A" w:rsidRPr="000E6920">
        <w:rPr>
          <w:sz w:val="24"/>
          <w:szCs w:val="24"/>
        </w:rPr>
        <w:t xml:space="preserve"> service delivery </w:t>
      </w:r>
      <w:r w:rsidR="0031743E" w:rsidRPr="000E6920">
        <w:rPr>
          <w:sz w:val="24"/>
          <w:szCs w:val="24"/>
        </w:rPr>
        <w:t>in</w:t>
      </w:r>
      <w:r w:rsidR="0006335A" w:rsidRPr="000E6920">
        <w:rPr>
          <w:sz w:val="24"/>
          <w:szCs w:val="24"/>
        </w:rPr>
        <w:t xml:space="preserve"> the LGAs</w:t>
      </w:r>
      <w:r w:rsidR="00160A0E">
        <w:rPr>
          <w:sz w:val="24"/>
          <w:szCs w:val="24"/>
        </w:rPr>
        <w:t>, with severe implication for the population.</w:t>
      </w:r>
    </w:p>
    <w:p w:rsidR="00EE2EF7" w:rsidRPr="000E6920" w:rsidRDefault="00EE2EF7" w:rsidP="000E6920">
      <w:pPr>
        <w:spacing w:after="0" w:line="240" w:lineRule="auto"/>
        <w:contextualSpacing/>
        <w:mirrorIndents/>
        <w:jc w:val="both"/>
        <w:rPr>
          <w:b/>
          <w:sz w:val="24"/>
          <w:szCs w:val="24"/>
        </w:rPr>
      </w:pPr>
    </w:p>
    <w:p w:rsidR="00EE2EF7" w:rsidRPr="005118CE" w:rsidRDefault="00EE2EF7" w:rsidP="005118CE">
      <w:pPr>
        <w:pStyle w:val="Caption"/>
        <w:spacing w:after="120"/>
        <w:jc w:val="center"/>
        <w:rPr>
          <w:b w:val="0"/>
          <w:color w:val="auto"/>
          <w:sz w:val="22"/>
          <w:szCs w:val="22"/>
        </w:rPr>
      </w:pPr>
      <w:r w:rsidRPr="005118CE">
        <w:rPr>
          <w:color w:val="auto"/>
          <w:sz w:val="22"/>
          <w:szCs w:val="22"/>
        </w:rPr>
        <w:t xml:space="preserve">Figure </w:t>
      </w:r>
      <w:r w:rsidRPr="005118CE">
        <w:rPr>
          <w:color w:val="auto"/>
          <w:sz w:val="22"/>
          <w:szCs w:val="22"/>
        </w:rPr>
        <w:fldChar w:fldCharType="begin"/>
      </w:r>
      <w:r w:rsidRPr="005118CE">
        <w:rPr>
          <w:color w:val="auto"/>
          <w:sz w:val="22"/>
          <w:szCs w:val="22"/>
        </w:rPr>
        <w:instrText xml:space="preserve"> SEQ Figure \* ARABIC </w:instrText>
      </w:r>
      <w:r w:rsidRPr="005118CE">
        <w:rPr>
          <w:color w:val="auto"/>
          <w:sz w:val="22"/>
          <w:szCs w:val="22"/>
        </w:rPr>
        <w:fldChar w:fldCharType="separate"/>
      </w:r>
      <w:r w:rsidR="005B207F">
        <w:rPr>
          <w:noProof/>
          <w:color w:val="auto"/>
          <w:sz w:val="22"/>
          <w:szCs w:val="22"/>
        </w:rPr>
        <w:t>8</w:t>
      </w:r>
      <w:r w:rsidRPr="005118CE">
        <w:rPr>
          <w:color w:val="auto"/>
          <w:sz w:val="22"/>
          <w:szCs w:val="22"/>
        </w:rPr>
        <w:fldChar w:fldCharType="end"/>
      </w:r>
      <w:r w:rsidRPr="005118CE">
        <w:rPr>
          <w:color w:val="auto"/>
          <w:sz w:val="22"/>
          <w:szCs w:val="22"/>
        </w:rPr>
        <w:t>: Trends in budget allocations and release of funds to LGAs</w:t>
      </w:r>
    </w:p>
    <w:p w:rsidR="00EE2EF7" w:rsidRPr="00BA45FF" w:rsidRDefault="00EE2EF7" w:rsidP="005118CE">
      <w:pPr>
        <w:spacing w:after="0" w:line="240" w:lineRule="auto"/>
        <w:contextualSpacing/>
        <w:mirrorIndents/>
        <w:jc w:val="center"/>
        <w:rPr>
          <w:rFonts w:cs="Times New Roman"/>
          <w:sz w:val="24"/>
          <w:szCs w:val="24"/>
        </w:rPr>
      </w:pPr>
      <w:r w:rsidRPr="00EE2EF7">
        <w:rPr>
          <w:noProof/>
        </w:rPr>
        <w:drawing>
          <wp:inline distT="0" distB="0" distL="0" distR="0" wp14:anchorId="4AC52C53" wp14:editId="09424BC4">
            <wp:extent cx="6011333" cy="2370667"/>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03442" cy="2367555"/>
                    </a:xfrm>
                    <a:prstGeom prst="rect">
                      <a:avLst/>
                    </a:prstGeom>
                    <a:noFill/>
                    <a:ln>
                      <a:noFill/>
                    </a:ln>
                  </pic:spPr>
                </pic:pic>
              </a:graphicData>
            </a:graphic>
          </wp:inline>
        </w:drawing>
      </w:r>
    </w:p>
    <w:p w:rsidR="00245283" w:rsidRPr="00D91E68" w:rsidRDefault="00245283" w:rsidP="00245283">
      <w:pPr>
        <w:pStyle w:val="ListParagraph"/>
        <w:spacing w:after="0" w:line="240" w:lineRule="auto"/>
        <w:ind w:left="446"/>
        <w:jc w:val="center"/>
        <w:rPr>
          <w:sz w:val="24"/>
          <w:szCs w:val="24"/>
        </w:rPr>
      </w:pPr>
    </w:p>
    <w:p w:rsidR="00245283" w:rsidRPr="000E6920" w:rsidRDefault="00245283" w:rsidP="00245283">
      <w:pPr>
        <w:numPr>
          <w:ilvl w:val="0"/>
          <w:numId w:val="30"/>
        </w:numPr>
        <w:tabs>
          <w:tab w:val="num" w:pos="720"/>
        </w:tabs>
        <w:spacing w:after="0" w:line="240" w:lineRule="auto"/>
        <w:ind w:left="0" w:firstLine="0"/>
        <w:contextualSpacing/>
        <w:mirrorIndents/>
        <w:jc w:val="both"/>
        <w:rPr>
          <w:sz w:val="24"/>
          <w:szCs w:val="24"/>
        </w:rPr>
      </w:pPr>
      <w:r>
        <w:rPr>
          <w:b/>
          <w:sz w:val="24"/>
          <w:szCs w:val="24"/>
        </w:rPr>
        <w:t>Inequity</w:t>
      </w:r>
      <w:r w:rsidRPr="000E6920">
        <w:rPr>
          <w:b/>
          <w:sz w:val="24"/>
          <w:szCs w:val="24"/>
        </w:rPr>
        <w:t xml:space="preserve"> in recurrent budget allocations </w:t>
      </w:r>
      <w:r>
        <w:rPr>
          <w:b/>
          <w:sz w:val="24"/>
          <w:szCs w:val="24"/>
        </w:rPr>
        <w:t xml:space="preserve">across LGAs </w:t>
      </w:r>
      <w:r w:rsidRPr="000E6920">
        <w:rPr>
          <w:b/>
          <w:sz w:val="24"/>
          <w:szCs w:val="24"/>
        </w:rPr>
        <w:t>remains a big challenge a</w:t>
      </w:r>
      <w:r>
        <w:rPr>
          <w:b/>
          <w:sz w:val="24"/>
          <w:szCs w:val="24"/>
        </w:rPr>
        <w:t xml:space="preserve">s it </w:t>
      </w:r>
      <w:r w:rsidRPr="000E6920">
        <w:rPr>
          <w:b/>
          <w:sz w:val="24"/>
          <w:szCs w:val="24"/>
        </w:rPr>
        <w:t>explain</w:t>
      </w:r>
      <w:r>
        <w:rPr>
          <w:b/>
          <w:sz w:val="24"/>
          <w:szCs w:val="24"/>
        </w:rPr>
        <w:t>s</w:t>
      </w:r>
      <w:r w:rsidRPr="000E6920">
        <w:rPr>
          <w:b/>
          <w:sz w:val="24"/>
          <w:szCs w:val="24"/>
        </w:rPr>
        <w:t xml:space="preserve"> </w:t>
      </w:r>
      <w:r>
        <w:rPr>
          <w:b/>
          <w:sz w:val="24"/>
          <w:szCs w:val="24"/>
        </w:rPr>
        <w:t xml:space="preserve">regional </w:t>
      </w:r>
      <w:r w:rsidRPr="000E6920">
        <w:rPr>
          <w:b/>
          <w:sz w:val="24"/>
          <w:szCs w:val="24"/>
        </w:rPr>
        <w:t>disparities in social service delivery</w:t>
      </w:r>
      <w:r w:rsidRPr="000E6920">
        <w:rPr>
          <w:sz w:val="24"/>
          <w:szCs w:val="24"/>
        </w:rPr>
        <w:t xml:space="preserve">. </w:t>
      </w:r>
      <w:r>
        <w:rPr>
          <w:sz w:val="24"/>
          <w:szCs w:val="24"/>
        </w:rPr>
        <w:t xml:space="preserve">Some LGAs will receive more than four times more recurrent funds (adjusted per capita) than others. Since those funds are </w:t>
      </w:r>
      <w:r w:rsidRPr="000E6920">
        <w:rPr>
          <w:sz w:val="24"/>
          <w:szCs w:val="24"/>
        </w:rPr>
        <w:t xml:space="preserve">used to cover salary and non-salary </w:t>
      </w:r>
      <w:r>
        <w:rPr>
          <w:sz w:val="24"/>
          <w:szCs w:val="24"/>
        </w:rPr>
        <w:t xml:space="preserve">expenses, they explain </w:t>
      </w:r>
      <w:r w:rsidRPr="000E6920">
        <w:rPr>
          <w:sz w:val="24"/>
          <w:szCs w:val="24"/>
        </w:rPr>
        <w:t>discrepancy in the numbers of staff and the likely variations in the quality of service delivery. Government has recognized this problem and the PMORALG and the MoF are review</w:t>
      </w:r>
      <w:r>
        <w:rPr>
          <w:sz w:val="24"/>
          <w:szCs w:val="24"/>
        </w:rPr>
        <w:t>ing</w:t>
      </w:r>
      <w:r w:rsidRPr="000E6920">
        <w:rPr>
          <w:sz w:val="24"/>
          <w:szCs w:val="24"/>
        </w:rPr>
        <w:t xml:space="preserve"> the formula-based allocation system under PFMRP IV in an effort to make the system more transparent and equitable. The system will also be examined in detail in the upcoming fiscal inequities public expenditure review</w:t>
      </w:r>
      <w:r>
        <w:rPr>
          <w:sz w:val="24"/>
          <w:szCs w:val="24"/>
        </w:rPr>
        <w:t>,</w:t>
      </w:r>
      <w:r w:rsidRPr="000E6920">
        <w:rPr>
          <w:sz w:val="24"/>
          <w:szCs w:val="24"/>
        </w:rPr>
        <w:t xml:space="preserve"> which will look in more detail at implementation problems and possible solutions to improve actual allocations and hence service delivery.</w:t>
      </w:r>
    </w:p>
    <w:p w:rsidR="00245283" w:rsidRPr="005118CE" w:rsidRDefault="00245283" w:rsidP="00245283">
      <w:pPr>
        <w:spacing w:after="0" w:line="240" w:lineRule="auto"/>
        <w:jc w:val="both"/>
      </w:pPr>
    </w:p>
    <w:p w:rsidR="00245283" w:rsidRPr="00393A92" w:rsidRDefault="00245283" w:rsidP="00245283">
      <w:pPr>
        <w:numPr>
          <w:ilvl w:val="0"/>
          <w:numId w:val="30"/>
        </w:numPr>
        <w:tabs>
          <w:tab w:val="num" w:pos="720"/>
        </w:tabs>
        <w:spacing w:after="0" w:line="240" w:lineRule="auto"/>
        <w:ind w:left="0" w:firstLine="0"/>
        <w:contextualSpacing/>
        <w:mirrorIndents/>
        <w:jc w:val="both"/>
        <w:rPr>
          <w:sz w:val="24"/>
          <w:szCs w:val="24"/>
        </w:rPr>
      </w:pPr>
      <w:r>
        <w:rPr>
          <w:b/>
          <w:sz w:val="24"/>
          <w:szCs w:val="24"/>
        </w:rPr>
        <w:t>O</w:t>
      </w:r>
      <w:r w:rsidRPr="00393A92">
        <w:rPr>
          <w:b/>
          <w:sz w:val="24"/>
          <w:szCs w:val="24"/>
        </w:rPr>
        <w:t xml:space="preserve">wn-source revenues are increasing becoming an important source of funding </w:t>
      </w:r>
      <w:r>
        <w:rPr>
          <w:b/>
          <w:sz w:val="24"/>
          <w:szCs w:val="24"/>
        </w:rPr>
        <w:t xml:space="preserve">LGAs </w:t>
      </w:r>
      <w:r w:rsidRPr="00393A92">
        <w:rPr>
          <w:b/>
          <w:sz w:val="24"/>
          <w:szCs w:val="24"/>
        </w:rPr>
        <w:t>projects and programs</w:t>
      </w:r>
      <w:r w:rsidRPr="00393A92">
        <w:rPr>
          <w:sz w:val="24"/>
          <w:szCs w:val="24"/>
        </w:rPr>
        <w:t xml:space="preserve">. LGA own revenues are projected to grow by 6 percent in 2013/14 </w:t>
      </w:r>
      <w:r w:rsidRPr="00393A92">
        <w:rPr>
          <w:sz w:val="24"/>
          <w:szCs w:val="24"/>
        </w:rPr>
        <w:lastRenderedPageBreak/>
        <w:t>compared to 2012/13, thereby contributing about 10 percent of the total resource envelope of LGAs. Further consideration should be given to how to develop LGAs ability to generate their own resources and using them in a more effective and accountable way.</w:t>
      </w:r>
    </w:p>
    <w:p w:rsidR="00245283" w:rsidRPr="006940FB" w:rsidRDefault="00245283" w:rsidP="00E5783A">
      <w:pPr>
        <w:spacing w:after="0" w:line="240" w:lineRule="auto"/>
        <w:contextualSpacing/>
        <w:mirrorIndents/>
        <w:jc w:val="both"/>
        <w:rPr>
          <w:sz w:val="24"/>
          <w:szCs w:val="24"/>
        </w:rPr>
      </w:pPr>
    </w:p>
    <w:p w:rsidR="00C13D2D" w:rsidRPr="007E11B1" w:rsidRDefault="00C13D2D" w:rsidP="005118CE">
      <w:pPr>
        <w:pStyle w:val="Caption"/>
        <w:spacing w:after="120"/>
        <w:jc w:val="center"/>
        <w:rPr>
          <w:color w:val="auto"/>
          <w:sz w:val="22"/>
          <w:szCs w:val="22"/>
        </w:rPr>
      </w:pPr>
      <w:r w:rsidRPr="007E11B1">
        <w:rPr>
          <w:color w:val="auto"/>
          <w:sz w:val="22"/>
          <w:szCs w:val="22"/>
        </w:rPr>
        <w:t xml:space="preserve">Figure </w:t>
      </w:r>
      <w:r w:rsidRPr="007E11B1">
        <w:rPr>
          <w:color w:val="auto"/>
          <w:sz w:val="22"/>
          <w:szCs w:val="22"/>
        </w:rPr>
        <w:fldChar w:fldCharType="begin"/>
      </w:r>
      <w:r w:rsidRPr="007E11B1">
        <w:rPr>
          <w:color w:val="auto"/>
          <w:sz w:val="22"/>
          <w:szCs w:val="22"/>
        </w:rPr>
        <w:instrText xml:space="preserve"> SEQ Figure \* ARABIC </w:instrText>
      </w:r>
      <w:r w:rsidRPr="007E11B1">
        <w:rPr>
          <w:color w:val="auto"/>
          <w:sz w:val="22"/>
          <w:szCs w:val="22"/>
        </w:rPr>
        <w:fldChar w:fldCharType="separate"/>
      </w:r>
      <w:r w:rsidR="005B207F">
        <w:rPr>
          <w:noProof/>
          <w:color w:val="auto"/>
          <w:sz w:val="22"/>
          <w:szCs w:val="22"/>
        </w:rPr>
        <w:t>9</w:t>
      </w:r>
      <w:r w:rsidRPr="007E11B1">
        <w:rPr>
          <w:color w:val="auto"/>
          <w:sz w:val="22"/>
          <w:szCs w:val="22"/>
        </w:rPr>
        <w:fldChar w:fldCharType="end"/>
      </w:r>
      <w:r w:rsidRPr="007E11B1">
        <w:rPr>
          <w:color w:val="auto"/>
          <w:sz w:val="22"/>
          <w:szCs w:val="22"/>
        </w:rPr>
        <w:t>: Recurrent Spending Allocation Per Capita in Different District Councils (</w:t>
      </w:r>
      <w:proofErr w:type="gramStart"/>
      <w:r w:rsidRPr="007E11B1">
        <w:rPr>
          <w:color w:val="auto"/>
          <w:sz w:val="22"/>
          <w:szCs w:val="22"/>
        </w:rPr>
        <w:t>Tsh</w:t>
      </w:r>
      <w:proofErr w:type="gramEnd"/>
      <w:r w:rsidRPr="007E11B1">
        <w:rPr>
          <w:color w:val="auto"/>
          <w:sz w:val="22"/>
          <w:szCs w:val="22"/>
        </w:rPr>
        <w:t>)</w:t>
      </w:r>
      <w:r w:rsidRPr="007E11B1">
        <w:rPr>
          <w:rStyle w:val="FootnoteReference"/>
          <w:color w:val="auto"/>
          <w:sz w:val="22"/>
          <w:szCs w:val="22"/>
        </w:rPr>
        <w:footnoteReference w:id="4"/>
      </w:r>
    </w:p>
    <w:p w:rsidR="0006335A" w:rsidRDefault="00C13D2D" w:rsidP="00D91E68">
      <w:pPr>
        <w:pStyle w:val="ListParagraph"/>
        <w:spacing w:after="0" w:line="240" w:lineRule="auto"/>
        <w:ind w:left="446"/>
        <w:jc w:val="center"/>
      </w:pPr>
      <w:r>
        <w:rPr>
          <w:noProof/>
        </w:rPr>
        <w:drawing>
          <wp:inline distT="0" distB="0" distL="0" distR="0" wp14:anchorId="4F6148FD" wp14:editId="6239E0E2">
            <wp:extent cx="5334000" cy="2565400"/>
            <wp:effectExtent l="0" t="0" r="19050" b="2540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91E68" w:rsidRDefault="00D91E68" w:rsidP="00D91E68">
      <w:pPr>
        <w:pStyle w:val="ListParagraph"/>
        <w:spacing w:after="0" w:line="240" w:lineRule="auto"/>
        <w:ind w:left="446"/>
        <w:jc w:val="center"/>
        <w:rPr>
          <w:sz w:val="24"/>
          <w:szCs w:val="24"/>
        </w:rPr>
      </w:pPr>
    </w:p>
    <w:p w:rsidR="00695121" w:rsidRPr="00D91E68" w:rsidRDefault="00695121" w:rsidP="00D91E68">
      <w:pPr>
        <w:pStyle w:val="ListParagraph"/>
        <w:spacing w:after="0" w:line="240" w:lineRule="auto"/>
        <w:ind w:left="446"/>
        <w:jc w:val="center"/>
        <w:rPr>
          <w:sz w:val="24"/>
          <w:szCs w:val="24"/>
        </w:rPr>
      </w:pPr>
    </w:p>
    <w:p w:rsidR="000415C2" w:rsidRPr="008138F9" w:rsidRDefault="000415C2" w:rsidP="0079262C">
      <w:pPr>
        <w:pStyle w:val="ListParagraph"/>
        <w:numPr>
          <w:ilvl w:val="0"/>
          <w:numId w:val="29"/>
        </w:numPr>
        <w:spacing w:after="0" w:line="240" w:lineRule="auto"/>
        <w:ind w:left="0" w:firstLine="0"/>
        <w:mirrorIndents/>
        <w:jc w:val="both"/>
        <w:rPr>
          <w:rFonts w:cs="Times New Roman"/>
          <w:sz w:val="28"/>
          <w:szCs w:val="28"/>
        </w:rPr>
      </w:pPr>
      <w:r w:rsidRPr="008138F9">
        <w:rPr>
          <w:rFonts w:cs="Times New Roman"/>
          <w:b/>
          <w:sz w:val="28"/>
          <w:szCs w:val="28"/>
        </w:rPr>
        <w:t>Emerging messages from sector budgets</w:t>
      </w:r>
    </w:p>
    <w:p w:rsidR="000415C2" w:rsidRPr="00393A92" w:rsidRDefault="000415C2" w:rsidP="00393A92">
      <w:pPr>
        <w:spacing w:after="0" w:line="240" w:lineRule="auto"/>
        <w:contextualSpacing/>
        <w:mirrorIndents/>
        <w:jc w:val="both"/>
        <w:rPr>
          <w:rFonts w:cs="Times New Roman"/>
          <w:sz w:val="24"/>
          <w:szCs w:val="24"/>
        </w:rPr>
      </w:pPr>
    </w:p>
    <w:p w:rsidR="00636976" w:rsidRPr="00393A92" w:rsidRDefault="00636976" w:rsidP="00B3649F">
      <w:pPr>
        <w:pStyle w:val="ListParagraph"/>
        <w:spacing w:after="0" w:line="240" w:lineRule="auto"/>
        <w:ind w:left="0"/>
        <w:mirrorIndents/>
        <w:jc w:val="both"/>
        <w:rPr>
          <w:rFonts w:cs="Times New Roman"/>
          <w:b/>
          <w:sz w:val="24"/>
          <w:szCs w:val="24"/>
        </w:rPr>
      </w:pPr>
      <w:r w:rsidRPr="00393A92">
        <w:rPr>
          <w:rFonts w:cs="Times New Roman"/>
          <w:b/>
          <w:sz w:val="24"/>
          <w:szCs w:val="24"/>
        </w:rPr>
        <w:t>Overall</w:t>
      </w:r>
    </w:p>
    <w:p w:rsidR="00A200E1" w:rsidRPr="00393A92" w:rsidRDefault="00A200E1" w:rsidP="00393A92">
      <w:pPr>
        <w:pStyle w:val="ListParagraph"/>
        <w:spacing w:after="0" w:line="240" w:lineRule="auto"/>
        <w:ind w:left="0"/>
        <w:mirrorIndents/>
        <w:jc w:val="both"/>
        <w:rPr>
          <w:rFonts w:cs="Times New Roman"/>
          <w:sz w:val="24"/>
          <w:szCs w:val="24"/>
        </w:rPr>
      </w:pPr>
    </w:p>
    <w:p w:rsidR="004769A3" w:rsidRPr="00B37B30" w:rsidRDefault="004769A3" w:rsidP="00D91E68">
      <w:pPr>
        <w:numPr>
          <w:ilvl w:val="0"/>
          <w:numId w:val="30"/>
        </w:numPr>
        <w:tabs>
          <w:tab w:val="num" w:pos="720"/>
        </w:tabs>
        <w:spacing w:after="0" w:line="240" w:lineRule="auto"/>
        <w:ind w:left="0" w:firstLine="0"/>
        <w:contextualSpacing/>
        <w:mirrorIndents/>
        <w:jc w:val="both"/>
        <w:rPr>
          <w:b/>
          <w:sz w:val="24"/>
          <w:szCs w:val="24"/>
        </w:rPr>
      </w:pPr>
      <w:r w:rsidRPr="000A2049">
        <w:rPr>
          <w:b/>
          <w:sz w:val="24"/>
          <w:szCs w:val="24"/>
        </w:rPr>
        <w:t xml:space="preserve">About two thirds of the discretionary </w:t>
      </w:r>
      <w:r w:rsidR="00943A30">
        <w:rPr>
          <w:b/>
          <w:sz w:val="24"/>
          <w:szCs w:val="24"/>
        </w:rPr>
        <w:t>public spending</w:t>
      </w:r>
      <w:r w:rsidRPr="000A2049">
        <w:rPr>
          <w:b/>
          <w:sz w:val="24"/>
          <w:szCs w:val="24"/>
        </w:rPr>
        <w:t xml:space="preserve"> was spent on the six </w:t>
      </w:r>
      <w:proofErr w:type="spellStart"/>
      <w:r w:rsidR="00E46680">
        <w:rPr>
          <w:b/>
          <w:sz w:val="24"/>
          <w:szCs w:val="24"/>
        </w:rPr>
        <w:t>Mkukuta</w:t>
      </w:r>
      <w:proofErr w:type="spellEnd"/>
      <w:r w:rsidR="00E46680">
        <w:rPr>
          <w:b/>
          <w:sz w:val="24"/>
          <w:szCs w:val="24"/>
        </w:rPr>
        <w:t xml:space="preserve"> </w:t>
      </w:r>
      <w:r w:rsidRPr="000A2049">
        <w:rPr>
          <w:b/>
          <w:sz w:val="24"/>
          <w:szCs w:val="24"/>
        </w:rPr>
        <w:t xml:space="preserve">priority sectors in 2012/13. </w:t>
      </w:r>
      <w:r w:rsidRPr="000A2049">
        <w:rPr>
          <w:sz w:val="24"/>
          <w:szCs w:val="24"/>
        </w:rPr>
        <w:t>This is equivalent to an increase of more than 3 percent (or 0.2 percent of GDP) of spending compared to the previous year (</w:t>
      </w:r>
      <w:r w:rsidRPr="000A2049">
        <w:rPr>
          <w:sz w:val="24"/>
          <w:szCs w:val="24"/>
        </w:rPr>
        <w:fldChar w:fldCharType="begin"/>
      </w:r>
      <w:r w:rsidRPr="000A2049">
        <w:rPr>
          <w:sz w:val="24"/>
          <w:szCs w:val="24"/>
        </w:rPr>
        <w:instrText xml:space="preserve"> REF _Ref371345775 \h </w:instrText>
      </w:r>
      <w:r w:rsidR="00393A92" w:rsidRPr="000A2049">
        <w:rPr>
          <w:sz w:val="24"/>
          <w:szCs w:val="24"/>
        </w:rPr>
        <w:instrText xml:space="preserve"> \* MERGEFORMAT </w:instrText>
      </w:r>
      <w:r w:rsidRPr="000A2049">
        <w:rPr>
          <w:sz w:val="24"/>
          <w:szCs w:val="24"/>
        </w:rPr>
      </w:r>
      <w:r w:rsidRPr="000A2049">
        <w:rPr>
          <w:sz w:val="24"/>
          <w:szCs w:val="24"/>
        </w:rPr>
        <w:fldChar w:fldCharType="separate"/>
      </w:r>
      <w:r w:rsidR="005B207F" w:rsidRPr="005B207F">
        <w:rPr>
          <w:sz w:val="24"/>
          <w:szCs w:val="24"/>
        </w:rPr>
        <w:t xml:space="preserve">Table </w:t>
      </w:r>
      <w:r w:rsidR="005B207F" w:rsidRPr="005B207F">
        <w:rPr>
          <w:noProof/>
          <w:sz w:val="24"/>
          <w:szCs w:val="24"/>
        </w:rPr>
        <w:t>12</w:t>
      </w:r>
      <w:r w:rsidRPr="000A2049">
        <w:rPr>
          <w:sz w:val="24"/>
          <w:szCs w:val="24"/>
        </w:rPr>
        <w:fldChar w:fldCharType="end"/>
      </w:r>
      <w:r w:rsidRPr="000A2049">
        <w:rPr>
          <w:sz w:val="24"/>
          <w:szCs w:val="24"/>
        </w:rPr>
        <w:t>). Th</w:t>
      </w:r>
      <w:r w:rsidR="00547DBE">
        <w:rPr>
          <w:sz w:val="24"/>
          <w:szCs w:val="24"/>
        </w:rPr>
        <w:t xml:space="preserve">e increase in actual spending in 2012/13 compared </w:t>
      </w:r>
      <w:r w:rsidR="00B37B30">
        <w:rPr>
          <w:sz w:val="24"/>
          <w:szCs w:val="24"/>
        </w:rPr>
        <w:t xml:space="preserve">to </w:t>
      </w:r>
      <w:r w:rsidR="00547DBE">
        <w:rPr>
          <w:sz w:val="24"/>
          <w:szCs w:val="24"/>
        </w:rPr>
        <w:t>2011/12 was</w:t>
      </w:r>
      <w:r w:rsidRPr="000A2049">
        <w:rPr>
          <w:sz w:val="24"/>
          <w:szCs w:val="24"/>
        </w:rPr>
        <w:t xml:space="preserve"> largely driven by the energy, water,</w:t>
      </w:r>
      <w:r w:rsidR="00E46680">
        <w:rPr>
          <w:sz w:val="24"/>
          <w:szCs w:val="24"/>
        </w:rPr>
        <w:t xml:space="preserve"> health</w:t>
      </w:r>
      <w:r w:rsidRPr="000A2049">
        <w:rPr>
          <w:sz w:val="24"/>
          <w:szCs w:val="24"/>
        </w:rPr>
        <w:t xml:space="preserve"> and education sectors, which saw their </w:t>
      </w:r>
      <w:r w:rsidR="00E5783A" w:rsidRPr="000A2049">
        <w:rPr>
          <w:sz w:val="24"/>
          <w:szCs w:val="24"/>
        </w:rPr>
        <w:t>shares,</w:t>
      </w:r>
      <w:r w:rsidRPr="000A2049">
        <w:rPr>
          <w:sz w:val="24"/>
          <w:szCs w:val="24"/>
        </w:rPr>
        <w:t xml:space="preserve"> increase significantly to off-set the decrease in roads, and agriculture. The most notable increase is in </w:t>
      </w:r>
      <w:r w:rsidR="00E46680">
        <w:rPr>
          <w:sz w:val="24"/>
          <w:szCs w:val="24"/>
        </w:rPr>
        <w:t xml:space="preserve">the </w:t>
      </w:r>
      <w:r w:rsidRPr="000A2049">
        <w:rPr>
          <w:sz w:val="24"/>
          <w:szCs w:val="24"/>
        </w:rPr>
        <w:t xml:space="preserve">energy sector which saw its total spending rising by 2.3 percent. This is partly explained by the increased transfers to TANESCO </w:t>
      </w:r>
      <w:r w:rsidR="00E46680">
        <w:rPr>
          <w:sz w:val="24"/>
          <w:szCs w:val="24"/>
        </w:rPr>
        <w:t xml:space="preserve">which aim </w:t>
      </w:r>
      <w:r w:rsidRPr="000A2049">
        <w:rPr>
          <w:sz w:val="24"/>
          <w:szCs w:val="24"/>
        </w:rPr>
        <w:t xml:space="preserve">to close </w:t>
      </w:r>
      <w:r w:rsidR="00E46680">
        <w:rPr>
          <w:sz w:val="24"/>
          <w:szCs w:val="24"/>
        </w:rPr>
        <w:t xml:space="preserve">the </w:t>
      </w:r>
      <w:proofErr w:type="spellStart"/>
      <w:r w:rsidR="00E46680">
        <w:rPr>
          <w:sz w:val="24"/>
          <w:szCs w:val="24"/>
        </w:rPr>
        <w:t>parastatals</w:t>
      </w:r>
      <w:proofErr w:type="spellEnd"/>
      <w:r w:rsidRPr="000A2049">
        <w:rPr>
          <w:sz w:val="24"/>
          <w:szCs w:val="24"/>
        </w:rPr>
        <w:t xml:space="preserve"> financial gap.</w:t>
      </w:r>
    </w:p>
    <w:p w:rsidR="00B37B30" w:rsidRPr="00B37B30" w:rsidRDefault="00B37B30" w:rsidP="00B37B30">
      <w:pPr>
        <w:spacing w:after="0" w:line="240" w:lineRule="auto"/>
        <w:contextualSpacing/>
        <w:mirrorIndents/>
        <w:jc w:val="both"/>
        <w:rPr>
          <w:sz w:val="24"/>
          <w:szCs w:val="24"/>
        </w:rPr>
      </w:pPr>
    </w:p>
    <w:p w:rsidR="00B37B30" w:rsidRPr="000A2049" w:rsidRDefault="00B37B30" w:rsidP="00B37B30">
      <w:pPr>
        <w:numPr>
          <w:ilvl w:val="0"/>
          <w:numId w:val="30"/>
        </w:numPr>
        <w:tabs>
          <w:tab w:val="num" w:pos="720"/>
        </w:tabs>
        <w:spacing w:after="0" w:line="240" w:lineRule="auto"/>
        <w:ind w:left="0" w:firstLine="0"/>
        <w:contextualSpacing/>
        <w:mirrorIndents/>
        <w:jc w:val="both"/>
        <w:rPr>
          <w:sz w:val="24"/>
          <w:szCs w:val="24"/>
        </w:rPr>
      </w:pPr>
      <w:r>
        <w:rPr>
          <w:b/>
          <w:sz w:val="24"/>
          <w:szCs w:val="24"/>
        </w:rPr>
        <w:t xml:space="preserve">Despite the need for the implementation of the BRN action plans the share of </w:t>
      </w:r>
      <w:r w:rsidR="00E46680">
        <w:rPr>
          <w:b/>
          <w:sz w:val="24"/>
          <w:szCs w:val="24"/>
        </w:rPr>
        <w:t xml:space="preserve">total spending of the </w:t>
      </w:r>
      <w:r>
        <w:rPr>
          <w:b/>
          <w:sz w:val="24"/>
          <w:szCs w:val="24"/>
        </w:rPr>
        <w:t xml:space="preserve">six </w:t>
      </w:r>
      <w:proofErr w:type="spellStart"/>
      <w:r w:rsidR="00E46680">
        <w:rPr>
          <w:b/>
          <w:sz w:val="24"/>
          <w:szCs w:val="24"/>
        </w:rPr>
        <w:t>Mkukuta</w:t>
      </w:r>
      <w:proofErr w:type="spellEnd"/>
      <w:r w:rsidR="00E46680">
        <w:rPr>
          <w:b/>
          <w:sz w:val="24"/>
          <w:szCs w:val="24"/>
        </w:rPr>
        <w:t xml:space="preserve"> </w:t>
      </w:r>
      <w:r>
        <w:rPr>
          <w:b/>
          <w:sz w:val="24"/>
          <w:szCs w:val="24"/>
        </w:rPr>
        <w:t xml:space="preserve">priority sectors in </w:t>
      </w:r>
      <w:r w:rsidR="00E46680">
        <w:rPr>
          <w:b/>
          <w:sz w:val="24"/>
          <w:szCs w:val="24"/>
        </w:rPr>
        <w:t xml:space="preserve">the </w:t>
      </w:r>
      <w:r w:rsidRPr="000A2049">
        <w:rPr>
          <w:b/>
          <w:sz w:val="24"/>
          <w:szCs w:val="24"/>
        </w:rPr>
        <w:t>2013/14</w:t>
      </w:r>
      <w:r>
        <w:rPr>
          <w:b/>
          <w:sz w:val="24"/>
          <w:szCs w:val="24"/>
        </w:rPr>
        <w:t xml:space="preserve"> budget declines compared to</w:t>
      </w:r>
      <w:r w:rsidR="000E444E">
        <w:rPr>
          <w:b/>
          <w:sz w:val="24"/>
          <w:szCs w:val="24"/>
        </w:rPr>
        <w:t xml:space="preserve"> </w:t>
      </w:r>
      <w:r w:rsidR="00E46680">
        <w:rPr>
          <w:b/>
          <w:sz w:val="24"/>
          <w:szCs w:val="24"/>
        </w:rPr>
        <w:t xml:space="preserve">the </w:t>
      </w:r>
      <w:r w:rsidR="000E444E">
        <w:rPr>
          <w:b/>
          <w:sz w:val="24"/>
          <w:szCs w:val="24"/>
        </w:rPr>
        <w:t xml:space="preserve">approved budget in </w:t>
      </w:r>
      <w:r>
        <w:rPr>
          <w:b/>
          <w:sz w:val="24"/>
          <w:szCs w:val="24"/>
        </w:rPr>
        <w:t>2012/13</w:t>
      </w:r>
      <w:r w:rsidR="00E369ED" w:rsidRPr="00FD6CBA">
        <w:rPr>
          <w:rStyle w:val="FootnoteReference"/>
          <w:rFonts w:cstheme="minorHAnsi"/>
          <w:sz w:val="24"/>
          <w:szCs w:val="24"/>
        </w:rPr>
        <w:footnoteReference w:id="5"/>
      </w:r>
      <w:r>
        <w:rPr>
          <w:b/>
          <w:sz w:val="24"/>
          <w:szCs w:val="24"/>
        </w:rPr>
        <w:t xml:space="preserve">. </w:t>
      </w:r>
      <w:r w:rsidRPr="000A2049">
        <w:rPr>
          <w:sz w:val="24"/>
          <w:szCs w:val="24"/>
        </w:rPr>
        <w:t>T</w:t>
      </w:r>
      <w:r>
        <w:rPr>
          <w:sz w:val="24"/>
          <w:szCs w:val="24"/>
        </w:rPr>
        <w:t>his partly reflects the fact that the BRN action plans are significantly underfunded. T</w:t>
      </w:r>
      <w:r w:rsidRPr="000A2049">
        <w:rPr>
          <w:sz w:val="24"/>
          <w:szCs w:val="24"/>
        </w:rPr>
        <w:t xml:space="preserve">he six </w:t>
      </w:r>
      <w:proofErr w:type="spellStart"/>
      <w:r w:rsidR="00E46680">
        <w:rPr>
          <w:sz w:val="24"/>
          <w:szCs w:val="24"/>
        </w:rPr>
        <w:t>Mkukuta</w:t>
      </w:r>
      <w:proofErr w:type="spellEnd"/>
      <w:r w:rsidR="00E46680">
        <w:rPr>
          <w:sz w:val="24"/>
          <w:szCs w:val="24"/>
        </w:rPr>
        <w:t xml:space="preserve"> </w:t>
      </w:r>
      <w:r w:rsidRPr="000A2049">
        <w:rPr>
          <w:sz w:val="24"/>
          <w:szCs w:val="24"/>
        </w:rPr>
        <w:t>priority sectors are set to consume 64.6 percent of the 2013/14 budget (excluding CFS)</w:t>
      </w:r>
      <w:r>
        <w:rPr>
          <w:sz w:val="24"/>
          <w:szCs w:val="24"/>
        </w:rPr>
        <w:t xml:space="preserve"> compared 65.5 percent in 2012/13</w:t>
      </w:r>
      <w:r w:rsidRPr="000A2049">
        <w:rPr>
          <w:sz w:val="24"/>
          <w:szCs w:val="24"/>
        </w:rPr>
        <w:t xml:space="preserve"> (</w:t>
      </w:r>
      <w:r w:rsidRPr="000A2049">
        <w:rPr>
          <w:sz w:val="24"/>
          <w:szCs w:val="24"/>
        </w:rPr>
        <w:fldChar w:fldCharType="begin"/>
      </w:r>
      <w:r w:rsidRPr="000A2049">
        <w:rPr>
          <w:sz w:val="24"/>
          <w:szCs w:val="24"/>
        </w:rPr>
        <w:instrText xml:space="preserve"> REF _Ref371345775 \h  \* MERGEFORMAT </w:instrText>
      </w:r>
      <w:r w:rsidRPr="000A2049">
        <w:rPr>
          <w:sz w:val="24"/>
          <w:szCs w:val="24"/>
        </w:rPr>
      </w:r>
      <w:r w:rsidRPr="000A2049">
        <w:rPr>
          <w:sz w:val="24"/>
          <w:szCs w:val="24"/>
        </w:rPr>
        <w:fldChar w:fldCharType="separate"/>
      </w:r>
      <w:r w:rsidR="005B207F" w:rsidRPr="005B207F">
        <w:rPr>
          <w:sz w:val="24"/>
          <w:szCs w:val="24"/>
        </w:rPr>
        <w:t xml:space="preserve">Table </w:t>
      </w:r>
      <w:r w:rsidR="005B207F" w:rsidRPr="005B207F">
        <w:rPr>
          <w:noProof/>
          <w:sz w:val="24"/>
          <w:szCs w:val="24"/>
        </w:rPr>
        <w:t>12</w:t>
      </w:r>
      <w:r w:rsidRPr="000A2049">
        <w:rPr>
          <w:sz w:val="24"/>
          <w:szCs w:val="24"/>
        </w:rPr>
        <w:fldChar w:fldCharType="end"/>
      </w:r>
      <w:r w:rsidRPr="000A2049">
        <w:rPr>
          <w:sz w:val="24"/>
          <w:szCs w:val="24"/>
        </w:rPr>
        <w:t xml:space="preserve">). </w:t>
      </w:r>
      <w:r>
        <w:rPr>
          <w:sz w:val="24"/>
          <w:szCs w:val="24"/>
        </w:rPr>
        <w:t xml:space="preserve">As </w:t>
      </w:r>
      <w:r w:rsidR="00E46680">
        <w:rPr>
          <w:sz w:val="24"/>
          <w:szCs w:val="24"/>
        </w:rPr>
        <w:t>a</w:t>
      </w:r>
      <w:r>
        <w:rPr>
          <w:sz w:val="24"/>
          <w:szCs w:val="24"/>
        </w:rPr>
        <w:t xml:space="preserve"> share of GDP, allocations to the six priority sectors increase</w:t>
      </w:r>
      <w:r w:rsidR="00E46680">
        <w:rPr>
          <w:sz w:val="24"/>
          <w:szCs w:val="24"/>
        </w:rPr>
        <w:t>d</w:t>
      </w:r>
      <w:r>
        <w:rPr>
          <w:sz w:val="24"/>
          <w:szCs w:val="24"/>
        </w:rPr>
        <w:t xml:space="preserve"> between 2012/1</w:t>
      </w:r>
      <w:r w:rsidR="00E46680">
        <w:rPr>
          <w:sz w:val="24"/>
          <w:szCs w:val="24"/>
        </w:rPr>
        <w:t>3</w:t>
      </w:r>
      <w:r>
        <w:rPr>
          <w:sz w:val="24"/>
          <w:szCs w:val="24"/>
        </w:rPr>
        <w:t xml:space="preserve"> and 2013/14 by 0.8 percent. </w:t>
      </w:r>
      <w:r w:rsidRPr="000A2049">
        <w:rPr>
          <w:sz w:val="24"/>
          <w:szCs w:val="24"/>
        </w:rPr>
        <w:t xml:space="preserve">The main drivers of increased allocations to priority sectors are water, energy and </w:t>
      </w:r>
      <w:r w:rsidRPr="000A2049">
        <w:rPr>
          <w:sz w:val="24"/>
          <w:szCs w:val="24"/>
        </w:rPr>
        <w:lastRenderedPageBreak/>
        <w:t>roads, which saw significant increases in the 2013/14 budget. The sectors which are included in the National Key Results Areas (NKRAs)</w:t>
      </w:r>
      <w:r w:rsidR="00E46680">
        <w:rPr>
          <w:sz w:val="24"/>
          <w:szCs w:val="24"/>
        </w:rPr>
        <w:t xml:space="preserve"> under BRN</w:t>
      </w:r>
      <w:r w:rsidRPr="000A2049">
        <w:rPr>
          <w:sz w:val="24"/>
          <w:szCs w:val="24"/>
        </w:rPr>
        <w:t xml:space="preserve"> are education, water, agriculture, transport/roads, and energy. </w:t>
      </w:r>
      <w:r w:rsidR="00E46680">
        <w:rPr>
          <w:sz w:val="24"/>
          <w:szCs w:val="24"/>
        </w:rPr>
        <w:t>There is also a revenue mobilization priority.</w:t>
      </w:r>
    </w:p>
    <w:p w:rsidR="00B37B30" w:rsidRPr="000A2049" w:rsidRDefault="00B37B30" w:rsidP="00B37B30">
      <w:pPr>
        <w:pStyle w:val="ListParagraph"/>
        <w:spacing w:after="0" w:line="240" w:lineRule="auto"/>
        <w:ind w:left="0"/>
        <w:mirrorIndents/>
        <w:jc w:val="both"/>
        <w:rPr>
          <w:rFonts w:cs="Times New Roman"/>
          <w:sz w:val="24"/>
          <w:szCs w:val="24"/>
        </w:rPr>
      </w:pPr>
    </w:p>
    <w:p w:rsidR="00B37B30" w:rsidRPr="00B37B30" w:rsidRDefault="00B37B30" w:rsidP="00B37B30">
      <w:pPr>
        <w:numPr>
          <w:ilvl w:val="0"/>
          <w:numId w:val="30"/>
        </w:numPr>
        <w:tabs>
          <w:tab w:val="num" w:pos="720"/>
        </w:tabs>
        <w:spacing w:after="0" w:line="240" w:lineRule="auto"/>
        <w:ind w:left="0" w:firstLine="0"/>
        <w:contextualSpacing/>
        <w:mirrorIndents/>
        <w:jc w:val="both"/>
        <w:rPr>
          <w:b/>
          <w:sz w:val="24"/>
          <w:szCs w:val="24"/>
        </w:rPr>
      </w:pPr>
      <w:r w:rsidRPr="000A2049">
        <w:rPr>
          <w:rFonts w:cs="Calibri"/>
          <w:b/>
          <w:sz w:val="24"/>
          <w:szCs w:val="24"/>
        </w:rPr>
        <w:t>PAF</w:t>
      </w:r>
      <w:r w:rsidRPr="000A2049">
        <w:rPr>
          <w:rFonts w:cs="Times New Roman"/>
          <w:b/>
          <w:sz w:val="24"/>
          <w:szCs w:val="24"/>
        </w:rPr>
        <w:t xml:space="preserve"> 2013 indicator:</w:t>
      </w:r>
      <w:r w:rsidRPr="000A2049">
        <w:rPr>
          <w:rFonts w:cs="Times New Roman"/>
          <w:sz w:val="24"/>
          <w:szCs w:val="24"/>
        </w:rPr>
        <w:t xml:space="preserve"> The share of </w:t>
      </w:r>
      <w:r w:rsidR="00E46680">
        <w:rPr>
          <w:rFonts w:cs="Times New Roman"/>
          <w:sz w:val="24"/>
          <w:szCs w:val="24"/>
        </w:rPr>
        <w:t xml:space="preserve">actual </w:t>
      </w:r>
      <w:r w:rsidRPr="000A2049">
        <w:rPr>
          <w:rFonts w:cs="Times New Roman"/>
          <w:sz w:val="24"/>
          <w:szCs w:val="24"/>
        </w:rPr>
        <w:t>total public expenditure</w:t>
      </w:r>
      <w:r>
        <w:rPr>
          <w:rFonts w:cs="Times New Roman"/>
          <w:sz w:val="24"/>
          <w:szCs w:val="24"/>
        </w:rPr>
        <w:t xml:space="preserve"> (excluding CFS)</w:t>
      </w:r>
      <w:r w:rsidRPr="000A2049">
        <w:rPr>
          <w:rFonts w:cs="Times New Roman"/>
          <w:sz w:val="24"/>
          <w:szCs w:val="24"/>
        </w:rPr>
        <w:t xml:space="preserve"> devoted to education, health, water, agriculture, roads, and energy </w:t>
      </w:r>
      <w:r w:rsidRPr="00AB6814">
        <w:rPr>
          <w:rFonts w:cs="Times New Roman"/>
          <w:sz w:val="24"/>
          <w:szCs w:val="24"/>
        </w:rPr>
        <w:t xml:space="preserve">increased to </w:t>
      </w:r>
      <w:r w:rsidRPr="00810831">
        <w:rPr>
          <w:rFonts w:cs="Times New Roman"/>
          <w:b/>
          <w:sz w:val="24"/>
          <w:szCs w:val="24"/>
        </w:rPr>
        <w:t>62.5 percent</w:t>
      </w:r>
      <w:r w:rsidRPr="00AB6814">
        <w:rPr>
          <w:rFonts w:cs="Times New Roman"/>
          <w:sz w:val="24"/>
          <w:szCs w:val="24"/>
        </w:rPr>
        <w:t xml:space="preserve"> in</w:t>
      </w:r>
      <w:r w:rsidRPr="000A2049">
        <w:rPr>
          <w:rFonts w:cs="Times New Roman"/>
          <w:sz w:val="24"/>
          <w:szCs w:val="24"/>
        </w:rPr>
        <w:t xml:space="preserve"> 2012/13 from 59.2 percent in 2011/12. It is further anticipated to reach 64.6 percent in </w:t>
      </w:r>
      <w:r>
        <w:rPr>
          <w:rFonts w:cs="Times New Roman"/>
          <w:sz w:val="24"/>
          <w:szCs w:val="24"/>
        </w:rPr>
        <w:t xml:space="preserve">the </w:t>
      </w:r>
      <w:r w:rsidRPr="000A2049">
        <w:rPr>
          <w:rFonts w:cs="Times New Roman"/>
          <w:sz w:val="24"/>
          <w:szCs w:val="24"/>
        </w:rPr>
        <w:t>2013/14</w:t>
      </w:r>
      <w:r>
        <w:rPr>
          <w:rFonts w:cs="Times New Roman"/>
          <w:sz w:val="24"/>
          <w:szCs w:val="24"/>
        </w:rPr>
        <w:t xml:space="preserve"> budget</w:t>
      </w:r>
      <w:r w:rsidRPr="000A2049">
        <w:rPr>
          <w:rFonts w:cs="Times New Roman"/>
          <w:sz w:val="24"/>
          <w:szCs w:val="24"/>
        </w:rPr>
        <w:t>. However budget execution is a serious challenge especially for development spending</w:t>
      </w:r>
      <w:r w:rsidR="00E46680">
        <w:rPr>
          <w:rFonts w:cs="Times New Roman"/>
          <w:sz w:val="24"/>
          <w:szCs w:val="24"/>
        </w:rPr>
        <w:t xml:space="preserve"> and the</w:t>
      </w:r>
      <w:r w:rsidRPr="000A2049">
        <w:rPr>
          <w:rFonts w:cs="Times New Roman"/>
          <w:sz w:val="24"/>
          <w:szCs w:val="24"/>
        </w:rPr>
        <w:t xml:space="preserve"> </w:t>
      </w:r>
      <w:r w:rsidR="0076573A">
        <w:rPr>
          <w:rFonts w:cs="Times New Roman"/>
          <w:sz w:val="24"/>
          <w:szCs w:val="24"/>
        </w:rPr>
        <w:t>infrastructure sector</w:t>
      </w:r>
      <w:r w:rsidRPr="00393A92">
        <w:rPr>
          <w:rFonts w:cs="Times New Roman"/>
          <w:sz w:val="24"/>
          <w:szCs w:val="24"/>
        </w:rPr>
        <w:t>.</w:t>
      </w:r>
    </w:p>
    <w:p w:rsidR="009278EB" w:rsidRDefault="009278EB" w:rsidP="009278EB">
      <w:pPr>
        <w:spacing w:after="0" w:line="240" w:lineRule="auto"/>
        <w:contextualSpacing/>
        <w:mirrorIndents/>
        <w:jc w:val="both"/>
        <w:rPr>
          <w:b/>
          <w:sz w:val="24"/>
          <w:szCs w:val="24"/>
        </w:rPr>
      </w:pPr>
    </w:p>
    <w:p w:rsidR="004769A3" w:rsidRPr="00A17F76" w:rsidRDefault="004769A3" w:rsidP="007B7BF0">
      <w:pPr>
        <w:pStyle w:val="Caption"/>
        <w:spacing w:after="120"/>
        <w:jc w:val="center"/>
        <w:rPr>
          <w:rFonts w:cs="Times New Roman"/>
          <w:color w:val="auto"/>
          <w:sz w:val="22"/>
          <w:szCs w:val="22"/>
        </w:rPr>
      </w:pPr>
      <w:bookmarkStart w:id="18" w:name="_Ref371345775"/>
      <w:r w:rsidRPr="00A17F76">
        <w:rPr>
          <w:color w:val="auto"/>
          <w:sz w:val="22"/>
          <w:szCs w:val="22"/>
        </w:rPr>
        <w:t xml:space="preserve">Table </w:t>
      </w:r>
      <w:r w:rsidRPr="00A17F76">
        <w:rPr>
          <w:color w:val="auto"/>
          <w:sz w:val="22"/>
          <w:szCs w:val="22"/>
        </w:rPr>
        <w:fldChar w:fldCharType="begin"/>
      </w:r>
      <w:r w:rsidRPr="00A17F76">
        <w:rPr>
          <w:color w:val="auto"/>
          <w:sz w:val="22"/>
          <w:szCs w:val="22"/>
        </w:rPr>
        <w:instrText xml:space="preserve"> SEQ Table \* ARABIC </w:instrText>
      </w:r>
      <w:r w:rsidRPr="00A17F76">
        <w:rPr>
          <w:color w:val="auto"/>
          <w:sz w:val="22"/>
          <w:szCs w:val="22"/>
        </w:rPr>
        <w:fldChar w:fldCharType="separate"/>
      </w:r>
      <w:r w:rsidR="005B207F">
        <w:rPr>
          <w:noProof/>
          <w:color w:val="auto"/>
          <w:sz w:val="22"/>
          <w:szCs w:val="22"/>
        </w:rPr>
        <w:t>12</w:t>
      </w:r>
      <w:r w:rsidRPr="00A17F76">
        <w:rPr>
          <w:color w:val="auto"/>
          <w:sz w:val="22"/>
          <w:szCs w:val="22"/>
        </w:rPr>
        <w:fldChar w:fldCharType="end"/>
      </w:r>
      <w:bookmarkEnd w:id="18"/>
      <w:r w:rsidRPr="00A17F76">
        <w:rPr>
          <w:color w:val="auto"/>
          <w:sz w:val="22"/>
          <w:szCs w:val="22"/>
        </w:rPr>
        <w:t>: Trends in priority sector</w:t>
      </w:r>
      <w:r w:rsidR="000E444E">
        <w:rPr>
          <w:color w:val="auto"/>
          <w:sz w:val="22"/>
          <w:szCs w:val="22"/>
        </w:rPr>
        <w:t>s</w:t>
      </w:r>
      <w:r w:rsidRPr="00A17F76">
        <w:rPr>
          <w:color w:val="auto"/>
          <w:sz w:val="22"/>
          <w:szCs w:val="22"/>
        </w:rPr>
        <w:t xml:space="preserve"> spending</w:t>
      </w:r>
    </w:p>
    <w:p w:rsidR="004769A3" w:rsidRPr="00A17F76" w:rsidRDefault="006940FB" w:rsidP="00393A92">
      <w:pPr>
        <w:pStyle w:val="ListParagraph"/>
        <w:spacing w:after="0" w:line="240" w:lineRule="auto"/>
        <w:ind w:left="0"/>
        <w:mirrorIndents/>
        <w:jc w:val="center"/>
        <w:rPr>
          <w:rFonts w:cs="Times New Roman"/>
          <w:sz w:val="24"/>
          <w:szCs w:val="24"/>
        </w:rPr>
      </w:pPr>
      <w:r w:rsidRPr="006940FB">
        <w:rPr>
          <w:noProof/>
        </w:rPr>
        <w:drawing>
          <wp:inline distT="0" distB="0" distL="0" distR="0" wp14:anchorId="6175292C" wp14:editId="66B96C7A">
            <wp:extent cx="4775200" cy="3016794"/>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80912" cy="3020402"/>
                    </a:xfrm>
                    <a:prstGeom prst="rect">
                      <a:avLst/>
                    </a:prstGeom>
                    <a:noFill/>
                    <a:ln>
                      <a:noFill/>
                    </a:ln>
                  </pic:spPr>
                </pic:pic>
              </a:graphicData>
            </a:graphic>
          </wp:inline>
        </w:drawing>
      </w:r>
    </w:p>
    <w:p w:rsidR="004769A3" w:rsidRPr="007B7BF0" w:rsidRDefault="00DD4729" w:rsidP="00393A92">
      <w:pPr>
        <w:pStyle w:val="ListParagraph"/>
        <w:spacing w:after="0" w:line="240" w:lineRule="auto"/>
        <w:ind w:left="0"/>
        <w:mirrorIndents/>
        <w:jc w:val="both"/>
        <w:rPr>
          <w:rFonts w:cs="Times New Roman"/>
        </w:rPr>
      </w:pPr>
      <w:r>
        <w:rPr>
          <w:rFonts w:cs="Times New Roman"/>
        </w:rPr>
        <w:t xml:space="preserve">           </w:t>
      </w:r>
      <w:r w:rsidR="008C561D">
        <w:rPr>
          <w:rFonts w:cs="Times New Roman"/>
        </w:rPr>
        <w:t xml:space="preserve">  </w:t>
      </w:r>
      <w:r>
        <w:rPr>
          <w:rFonts w:cs="Times New Roman"/>
        </w:rPr>
        <w:t xml:space="preserve"> </w:t>
      </w:r>
      <w:r w:rsidR="008C1DC9">
        <w:rPr>
          <w:rFonts w:cs="Times New Roman"/>
        </w:rPr>
        <w:t xml:space="preserve">    </w:t>
      </w:r>
      <w:r w:rsidR="007B7BF0" w:rsidRPr="007B7BF0">
        <w:rPr>
          <w:rFonts w:cs="Times New Roman"/>
        </w:rPr>
        <w:t>Source:</w:t>
      </w:r>
      <w:r>
        <w:rPr>
          <w:rFonts w:cs="Times New Roman"/>
        </w:rPr>
        <w:t xml:space="preserve">  </w:t>
      </w:r>
      <w:r>
        <w:rPr>
          <w:rFonts w:cs="Calibri"/>
          <w:bCs/>
        </w:rPr>
        <w:t>Ministry of Finance and World Bank estimates</w:t>
      </w:r>
    </w:p>
    <w:p w:rsidR="00BF0DCD" w:rsidRPr="00BF0DCD" w:rsidRDefault="00BF0DCD" w:rsidP="00BF0DCD">
      <w:pPr>
        <w:pStyle w:val="MainParawithChapter"/>
        <w:numPr>
          <w:ilvl w:val="0"/>
          <w:numId w:val="0"/>
        </w:numPr>
        <w:tabs>
          <w:tab w:val="num" w:pos="2790"/>
        </w:tabs>
        <w:spacing w:after="0"/>
        <w:mirrorIndents/>
        <w:rPr>
          <w:rFonts w:asciiTheme="minorHAnsi" w:hAnsiTheme="minorHAnsi"/>
        </w:rPr>
      </w:pPr>
    </w:p>
    <w:p w:rsidR="00B3649F" w:rsidRPr="00FD6CBA" w:rsidRDefault="00B3649F" w:rsidP="00B3649F">
      <w:pPr>
        <w:pStyle w:val="ListParagraph"/>
        <w:numPr>
          <w:ilvl w:val="0"/>
          <w:numId w:val="14"/>
        </w:numPr>
        <w:spacing w:after="0" w:line="240" w:lineRule="auto"/>
        <w:ind w:left="0" w:firstLine="0"/>
        <w:mirrorIndents/>
        <w:jc w:val="both"/>
        <w:rPr>
          <w:rFonts w:cstheme="minorHAnsi"/>
          <w:b/>
          <w:sz w:val="24"/>
          <w:szCs w:val="24"/>
        </w:rPr>
      </w:pPr>
      <w:r w:rsidRPr="00FD6CBA">
        <w:rPr>
          <w:rFonts w:cstheme="minorHAnsi"/>
          <w:b/>
          <w:sz w:val="24"/>
          <w:szCs w:val="24"/>
        </w:rPr>
        <w:t xml:space="preserve">Education </w:t>
      </w:r>
    </w:p>
    <w:p w:rsidR="00B3649F" w:rsidRPr="00FD6CBA" w:rsidRDefault="00B3649F" w:rsidP="00B3649F">
      <w:pPr>
        <w:pStyle w:val="ListParagraph"/>
        <w:spacing w:after="0" w:line="240" w:lineRule="auto"/>
        <w:ind w:left="0"/>
        <w:mirrorIndents/>
        <w:jc w:val="both"/>
        <w:rPr>
          <w:rFonts w:cstheme="minorHAnsi"/>
          <w:i/>
          <w:sz w:val="24"/>
          <w:szCs w:val="24"/>
        </w:rPr>
      </w:pPr>
    </w:p>
    <w:p w:rsidR="00B3649F" w:rsidRPr="00FD6CBA" w:rsidRDefault="00B3649F" w:rsidP="00B3649F">
      <w:pPr>
        <w:pStyle w:val="ListParagraph"/>
        <w:spacing w:after="0" w:line="240" w:lineRule="auto"/>
        <w:ind w:left="0"/>
        <w:mirrorIndents/>
        <w:jc w:val="both"/>
        <w:rPr>
          <w:rFonts w:cstheme="minorHAnsi"/>
          <w:i/>
          <w:sz w:val="24"/>
          <w:szCs w:val="24"/>
        </w:rPr>
      </w:pPr>
      <w:r w:rsidRPr="00FD6CBA">
        <w:rPr>
          <w:rFonts w:cstheme="minorHAnsi"/>
          <w:i/>
          <w:sz w:val="24"/>
          <w:szCs w:val="24"/>
        </w:rPr>
        <w:t xml:space="preserve">2012/13 </w:t>
      </w:r>
      <w:r>
        <w:rPr>
          <w:rFonts w:cstheme="minorHAnsi"/>
          <w:i/>
          <w:sz w:val="24"/>
          <w:szCs w:val="24"/>
        </w:rPr>
        <w:t>a</w:t>
      </w:r>
      <w:r w:rsidRPr="00FD6CBA">
        <w:rPr>
          <w:rFonts w:cstheme="minorHAnsi"/>
          <w:i/>
          <w:sz w:val="24"/>
          <w:szCs w:val="24"/>
        </w:rPr>
        <w:t xml:space="preserve">ctual </w:t>
      </w:r>
      <w:r>
        <w:rPr>
          <w:rFonts w:cstheme="minorHAnsi"/>
          <w:i/>
          <w:sz w:val="24"/>
          <w:szCs w:val="24"/>
        </w:rPr>
        <w:t>e</w:t>
      </w:r>
      <w:r w:rsidRPr="00FD6CBA">
        <w:rPr>
          <w:rFonts w:cstheme="minorHAnsi"/>
          <w:i/>
          <w:sz w:val="24"/>
          <w:szCs w:val="24"/>
        </w:rPr>
        <w:t>xpenditure</w:t>
      </w:r>
    </w:p>
    <w:p w:rsidR="00B3649F" w:rsidRPr="00FD6CBA" w:rsidRDefault="00B3649F" w:rsidP="00B3649F">
      <w:pPr>
        <w:pStyle w:val="ListParagraph"/>
        <w:spacing w:after="0" w:line="240" w:lineRule="auto"/>
        <w:ind w:left="0"/>
        <w:mirrorIndents/>
        <w:jc w:val="both"/>
        <w:rPr>
          <w:rFonts w:cstheme="minorHAnsi"/>
          <w:i/>
          <w:sz w:val="24"/>
          <w:szCs w:val="24"/>
        </w:rPr>
      </w:pPr>
    </w:p>
    <w:p w:rsidR="00B3649F" w:rsidRPr="00FD6CBA" w:rsidRDefault="00E46680" w:rsidP="00B3649F">
      <w:pPr>
        <w:numPr>
          <w:ilvl w:val="0"/>
          <w:numId w:val="30"/>
        </w:numPr>
        <w:tabs>
          <w:tab w:val="num" w:pos="720"/>
        </w:tabs>
        <w:spacing w:after="0" w:line="240" w:lineRule="auto"/>
        <w:ind w:left="0" w:firstLine="0"/>
        <w:contextualSpacing/>
        <w:mirrorIndents/>
        <w:jc w:val="both"/>
        <w:rPr>
          <w:rFonts w:cstheme="minorHAnsi"/>
          <w:sz w:val="24"/>
          <w:szCs w:val="24"/>
        </w:rPr>
      </w:pPr>
      <w:r>
        <w:rPr>
          <w:rFonts w:cs="Times New Roman"/>
          <w:b/>
          <w:sz w:val="24"/>
          <w:szCs w:val="24"/>
        </w:rPr>
        <w:t xml:space="preserve">Budget execution in the </w:t>
      </w:r>
      <w:r w:rsidR="00B3649F">
        <w:rPr>
          <w:rFonts w:cs="Times New Roman"/>
          <w:b/>
          <w:sz w:val="24"/>
          <w:szCs w:val="24"/>
        </w:rPr>
        <w:t>education sector</w:t>
      </w:r>
      <w:r>
        <w:rPr>
          <w:rFonts w:cs="Times New Roman"/>
          <w:b/>
          <w:sz w:val="24"/>
          <w:szCs w:val="24"/>
        </w:rPr>
        <w:t xml:space="preserve"> has improved</w:t>
      </w:r>
      <w:r>
        <w:rPr>
          <w:rFonts w:cs="Times New Roman"/>
          <w:sz w:val="24"/>
          <w:szCs w:val="24"/>
        </w:rPr>
        <w:t>.</w:t>
      </w:r>
      <w:r w:rsidR="00B3649F">
        <w:rPr>
          <w:rFonts w:cs="Times New Roman"/>
          <w:sz w:val="24"/>
          <w:szCs w:val="24"/>
        </w:rPr>
        <w:t xml:space="preserve"> </w:t>
      </w:r>
      <w:r w:rsidR="00B3649F" w:rsidRPr="00FD6CBA">
        <w:rPr>
          <w:rFonts w:cs="Times New Roman"/>
          <w:sz w:val="24"/>
          <w:szCs w:val="24"/>
        </w:rPr>
        <w:t>The</w:t>
      </w:r>
      <w:r w:rsidR="00B3649F" w:rsidRPr="00FD6CBA">
        <w:rPr>
          <w:sz w:val="24"/>
          <w:szCs w:val="24"/>
        </w:rPr>
        <w:t xml:space="preserve"> education sector saw a continued improvement in the centralized budget execution in 2012/13</w:t>
      </w:r>
      <w:r w:rsidR="00B3649F" w:rsidRPr="00FD6CBA">
        <w:rPr>
          <w:b/>
          <w:sz w:val="24"/>
          <w:szCs w:val="24"/>
        </w:rPr>
        <w:t xml:space="preserve"> </w:t>
      </w:r>
      <w:r w:rsidR="00B3649F" w:rsidRPr="00FD6CBA">
        <w:rPr>
          <w:rFonts w:cstheme="minorHAnsi"/>
          <w:sz w:val="24"/>
          <w:szCs w:val="24"/>
        </w:rPr>
        <w:t>with 94</w:t>
      </w:r>
      <w:r w:rsidR="00B3649F">
        <w:rPr>
          <w:rFonts w:cstheme="minorHAnsi"/>
          <w:sz w:val="24"/>
          <w:szCs w:val="24"/>
        </w:rPr>
        <w:t xml:space="preserve"> percent </w:t>
      </w:r>
      <w:r w:rsidR="00B3649F" w:rsidRPr="00FD6CBA">
        <w:rPr>
          <w:rFonts w:cstheme="minorHAnsi"/>
          <w:sz w:val="24"/>
          <w:szCs w:val="24"/>
        </w:rPr>
        <w:t xml:space="preserve">of approved funds </w:t>
      </w:r>
      <w:r w:rsidR="00B3649F">
        <w:rPr>
          <w:rFonts w:cstheme="minorHAnsi"/>
          <w:sz w:val="24"/>
          <w:szCs w:val="24"/>
        </w:rPr>
        <w:t xml:space="preserve">released </w:t>
      </w:r>
      <w:r w:rsidR="00B3649F" w:rsidRPr="00FD6CBA">
        <w:rPr>
          <w:rFonts w:cstheme="minorHAnsi"/>
          <w:sz w:val="24"/>
          <w:szCs w:val="24"/>
        </w:rPr>
        <w:t>(97</w:t>
      </w:r>
      <w:r w:rsidR="00B3649F">
        <w:rPr>
          <w:rFonts w:cstheme="minorHAnsi"/>
          <w:sz w:val="24"/>
          <w:szCs w:val="24"/>
        </w:rPr>
        <w:t xml:space="preserve"> percent</w:t>
      </w:r>
      <w:r w:rsidR="00B3649F" w:rsidRPr="00FD6CBA">
        <w:rPr>
          <w:rFonts w:cstheme="minorHAnsi"/>
          <w:sz w:val="24"/>
          <w:szCs w:val="24"/>
        </w:rPr>
        <w:t xml:space="preserve"> of the recurrent budget and 80</w:t>
      </w:r>
      <w:r w:rsidR="00B3649F">
        <w:rPr>
          <w:rFonts w:cstheme="minorHAnsi"/>
          <w:sz w:val="24"/>
          <w:szCs w:val="24"/>
        </w:rPr>
        <w:t xml:space="preserve"> percent</w:t>
      </w:r>
      <w:r w:rsidR="00B3649F" w:rsidRPr="00FD6CBA">
        <w:rPr>
          <w:rFonts w:cstheme="minorHAnsi"/>
          <w:sz w:val="24"/>
          <w:szCs w:val="24"/>
        </w:rPr>
        <w:t xml:space="preserve"> of the development budget) and </w:t>
      </w:r>
      <w:r w:rsidR="00B3649F">
        <w:rPr>
          <w:rFonts w:cstheme="minorHAnsi"/>
          <w:sz w:val="24"/>
          <w:szCs w:val="24"/>
        </w:rPr>
        <w:t xml:space="preserve">almost all money being </w:t>
      </w:r>
      <w:r w:rsidR="00B3649F" w:rsidRPr="00FD6CBA">
        <w:rPr>
          <w:rFonts w:cstheme="minorHAnsi"/>
          <w:sz w:val="24"/>
          <w:szCs w:val="24"/>
        </w:rPr>
        <w:t>spent. This is a substantial improvement on the previous year where 79</w:t>
      </w:r>
      <w:r w:rsidR="00B3649F">
        <w:rPr>
          <w:rFonts w:cstheme="minorHAnsi"/>
          <w:sz w:val="24"/>
          <w:szCs w:val="24"/>
        </w:rPr>
        <w:t xml:space="preserve"> percent</w:t>
      </w:r>
      <w:r w:rsidR="00B3649F" w:rsidRPr="00FD6CBA">
        <w:rPr>
          <w:rFonts w:cstheme="minorHAnsi"/>
          <w:sz w:val="24"/>
          <w:szCs w:val="24"/>
        </w:rPr>
        <w:t xml:space="preserve"> of approved funds were </w:t>
      </w:r>
      <w:r w:rsidR="00B3649F">
        <w:rPr>
          <w:rFonts w:cstheme="minorHAnsi"/>
          <w:sz w:val="24"/>
          <w:szCs w:val="24"/>
        </w:rPr>
        <w:t>spent</w:t>
      </w:r>
      <w:r w:rsidR="00B3649F" w:rsidRPr="00FD6CBA">
        <w:rPr>
          <w:rFonts w:cstheme="minorHAnsi"/>
          <w:sz w:val="24"/>
          <w:szCs w:val="24"/>
        </w:rPr>
        <w:t xml:space="preserve"> (96</w:t>
      </w:r>
      <w:r w:rsidR="00B3649F">
        <w:rPr>
          <w:rFonts w:cstheme="minorHAnsi"/>
          <w:sz w:val="24"/>
          <w:szCs w:val="24"/>
        </w:rPr>
        <w:t xml:space="preserve"> percent</w:t>
      </w:r>
      <w:r w:rsidR="00B3649F" w:rsidRPr="00FD6CBA">
        <w:rPr>
          <w:rFonts w:cstheme="minorHAnsi"/>
          <w:sz w:val="24"/>
          <w:szCs w:val="24"/>
        </w:rPr>
        <w:t xml:space="preserve"> and 25</w:t>
      </w:r>
      <w:r w:rsidR="00B3649F">
        <w:rPr>
          <w:rFonts w:cstheme="minorHAnsi"/>
          <w:sz w:val="24"/>
          <w:szCs w:val="24"/>
        </w:rPr>
        <w:t xml:space="preserve"> percent</w:t>
      </w:r>
      <w:r w:rsidR="00B3649F" w:rsidRPr="00FD6CBA">
        <w:rPr>
          <w:rFonts w:cstheme="minorHAnsi"/>
          <w:sz w:val="24"/>
          <w:szCs w:val="24"/>
        </w:rPr>
        <w:t xml:space="preserve"> respectively for recurrent and development budgets). </w:t>
      </w:r>
    </w:p>
    <w:p w:rsidR="00B3649F" w:rsidRPr="00FD6CBA" w:rsidRDefault="00B3649F" w:rsidP="00B3649F">
      <w:pPr>
        <w:pStyle w:val="ListParagraph"/>
        <w:spacing w:after="0" w:line="240" w:lineRule="auto"/>
        <w:ind w:left="0"/>
        <w:mirrorIndents/>
        <w:jc w:val="both"/>
        <w:rPr>
          <w:rFonts w:cstheme="minorHAnsi"/>
          <w:sz w:val="24"/>
          <w:szCs w:val="24"/>
        </w:rPr>
      </w:pPr>
    </w:p>
    <w:p w:rsidR="00B3649F" w:rsidRPr="00FD6CBA" w:rsidRDefault="00B3649F" w:rsidP="00B3649F">
      <w:pPr>
        <w:numPr>
          <w:ilvl w:val="0"/>
          <w:numId w:val="30"/>
        </w:numPr>
        <w:tabs>
          <w:tab w:val="num" w:pos="720"/>
        </w:tabs>
        <w:spacing w:after="0" w:line="240" w:lineRule="auto"/>
        <w:ind w:left="0" w:firstLine="0"/>
        <w:contextualSpacing/>
        <w:mirrorIndents/>
        <w:jc w:val="both"/>
        <w:rPr>
          <w:sz w:val="24"/>
          <w:szCs w:val="24"/>
        </w:rPr>
      </w:pPr>
      <w:r w:rsidRPr="007C4AFE">
        <w:rPr>
          <w:rFonts w:cs="Times New Roman"/>
          <w:b/>
          <w:sz w:val="24"/>
          <w:szCs w:val="24"/>
        </w:rPr>
        <w:t>There</w:t>
      </w:r>
      <w:r w:rsidRPr="007C4AFE">
        <w:rPr>
          <w:rFonts w:cstheme="minorHAnsi"/>
          <w:b/>
          <w:sz w:val="24"/>
          <w:szCs w:val="24"/>
        </w:rPr>
        <w:t xml:space="preserve"> were s</w:t>
      </w:r>
      <w:r w:rsidR="00E46680">
        <w:rPr>
          <w:rFonts w:cstheme="minorHAnsi"/>
          <w:b/>
          <w:sz w:val="24"/>
          <w:szCs w:val="24"/>
        </w:rPr>
        <w:t>ome</w:t>
      </w:r>
      <w:r w:rsidRPr="007C4AFE">
        <w:rPr>
          <w:rFonts w:cstheme="minorHAnsi"/>
          <w:b/>
          <w:sz w:val="24"/>
          <w:szCs w:val="24"/>
        </w:rPr>
        <w:t xml:space="preserve"> variations in overall sub-sector budget execution rates in 2012/13, ranging from 84 percent for TVET and Adult</w:t>
      </w:r>
      <w:r w:rsidRPr="007C4AFE">
        <w:rPr>
          <w:rStyle w:val="FootnoteReference"/>
          <w:rFonts w:cstheme="minorHAnsi"/>
          <w:b/>
          <w:sz w:val="24"/>
          <w:szCs w:val="24"/>
        </w:rPr>
        <w:footnoteReference w:id="6"/>
      </w:r>
      <w:r w:rsidRPr="007C4AFE">
        <w:rPr>
          <w:rFonts w:cstheme="minorHAnsi"/>
          <w:b/>
          <w:sz w:val="24"/>
          <w:szCs w:val="24"/>
        </w:rPr>
        <w:t xml:space="preserve"> to 98 percent for Higher</w:t>
      </w:r>
      <w:r w:rsidR="007C4AFE" w:rsidRPr="007C4AFE">
        <w:rPr>
          <w:rFonts w:cstheme="minorHAnsi"/>
          <w:b/>
          <w:sz w:val="24"/>
          <w:szCs w:val="24"/>
        </w:rPr>
        <w:t xml:space="preserve"> education level</w:t>
      </w:r>
      <w:r w:rsidRPr="00FD6CBA">
        <w:rPr>
          <w:rFonts w:cstheme="minorHAnsi"/>
          <w:sz w:val="24"/>
          <w:szCs w:val="24"/>
        </w:rPr>
        <w:t xml:space="preserve">. For </w:t>
      </w:r>
      <w:r w:rsidRPr="00FD6CBA">
        <w:rPr>
          <w:rFonts w:cstheme="minorHAnsi"/>
          <w:sz w:val="24"/>
          <w:szCs w:val="24"/>
        </w:rPr>
        <w:lastRenderedPageBreak/>
        <w:t>recurrent expenditure there was slightly more variation (78</w:t>
      </w:r>
      <w:r>
        <w:rPr>
          <w:rFonts w:cstheme="minorHAnsi"/>
          <w:sz w:val="24"/>
          <w:szCs w:val="24"/>
        </w:rPr>
        <w:t xml:space="preserve"> percent</w:t>
      </w:r>
      <w:r w:rsidRPr="00FD6CBA">
        <w:rPr>
          <w:rFonts w:cstheme="minorHAnsi"/>
          <w:sz w:val="24"/>
          <w:szCs w:val="24"/>
        </w:rPr>
        <w:t xml:space="preserve"> for TVET to near 100</w:t>
      </w:r>
      <w:r>
        <w:rPr>
          <w:rFonts w:cstheme="minorHAnsi"/>
          <w:sz w:val="24"/>
          <w:szCs w:val="24"/>
        </w:rPr>
        <w:t xml:space="preserve"> percent</w:t>
      </w:r>
      <w:r w:rsidRPr="00FD6CBA">
        <w:rPr>
          <w:rFonts w:cstheme="minorHAnsi"/>
          <w:sz w:val="24"/>
          <w:szCs w:val="24"/>
        </w:rPr>
        <w:t xml:space="preserve"> for Higher) and there was high variation in development budget execution, with Adult only achieving 30</w:t>
      </w:r>
      <w:r>
        <w:rPr>
          <w:rFonts w:cstheme="minorHAnsi"/>
          <w:sz w:val="24"/>
          <w:szCs w:val="24"/>
        </w:rPr>
        <w:t xml:space="preserve"> percent</w:t>
      </w:r>
      <w:r w:rsidRPr="00FD6CBA">
        <w:rPr>
          <w:rFonts w:cstheme="minorHAnsi"/>
          <w:sz w:val="24"/>
          <w:szCs w:val="24"/>
        </w:rPr>
        <w:t>, Secondary only achieving 44</w:t>
      </w:r>
      <w:r>
        <w:rPr>
          <w:rFonts w:cstheme="minorHAnsi"/>
          <w:sz w:val="24"/>
          <w:szCs w:val="24"/>
        </w:rPr>
        <w:t xml:space="preserve"> percent</w:t>
      </w:r>
      <w:r w:rsidRPr="00FD6CBA">
        <w:rPr>
          <w:rFonts w:cstheme="minorHAnsi"/>
          <w:sz w:val="24"/>
          <w:szCs w:val="24"/>
        </w:rPr>
        <w:t xml:space="preserve"> whilst TVET achieved 99</w:t>
      </w:r>
      <w:r>
        <w:rPr>
          <w:rFonts w:cstheme="minorHAnsi"/>
          <w:sz w:val="24"/>
          <w:szCs w:val="24"/>
        </w:rPr>
        <w:t xml:space="preserve"> percent</w:t>
      </w:r>
      <w:r w:rsidRPr="00FD6CBA">
        <w:rPr>
          <w:rFonts w:cstheme="minorHAnsi"/>
          <w:sz w:val="24"/>
          <w:szCs w:val="24"/>
        </w:rPr>
        <w:t xml:space="preserve">. Whilst this variation in development budget execution rates is less extreme than in 2011/12, the low execution rates at secondary level continue to hint at </w:t>
      </w:r>
      <w:r w:rsidRPr="00FD6CBA">
        <w:rPr>
          <w:sz w:val="24"/>
          <w:szCs w:val="24"/>
        </w:rPr>
        <w:t xml:space="preserve">on-going issues of absorption/implementation capacity for construction activities which were raised in both the 2011 and 2012 education sector RBAs. </w:t>
      </w:r>
    </w:p>
    <w:p w:rsidR="00B3649F" w:rsidRPr="00FD6CBA" w:rsidRDefault="00B3649F" w:rsidP="00B3649F">
      <w:pPr>
        <w:pStyle w:val="ListParagraph"/>
        <w:spacing w:after="0" w:line="240" w:lineRule="auto"/>
        <w:ind w:left="0"/>
        <w:mirrorIndents/>
        <w:jc w:val="both"/>
        <w:rPr>
          <w:sz w:val="24"/>
          <w:szCs w:val="24"/>
        </w:rPr>
      </w:pPr>
    </w:p>
    <w:p w:rsidR="00B3649F" w:rsidRPr="00FD6CBA" w:rsidRDefault="00B3649F" w:rsidP="00B3649F">
      <w:pPr>
        <w:numPr>
          <w:ilvl w:val="0"/>
          <w:numId w:val="30"/>
        </w:numPr>
        <w:tabs>
          <w:tab w:val="num" w:pos="720"/>
        </w:tabs>
        <w:spacing w:after="0" w:line="240" w:lineRule="auto"/>
        <w:ind w:left="0" w:firstLine="0"/>
        <w:contextualSpacing/>
        <w:mirrorIndents/>
        <w:jc w:val="both"/>
        <w:rPr>
          <w:rFonts w:cstheme="minorHAnsi"/>
          <w:sz w:val="24"/>
          <w:szCs w:val="24"/>
        </w:rPr>
      </w:pPr>
      <w:r w:rsidRPr="00AD6BA5">
        <w:rPr>
          <w:rFonts w:cs="Times New Roman"/>
          <w:b/>
          <w:sz w:val="24"/>
          <w:szCs w:val="24"/>
        </w:rPr>
        <w:t>The</w:t>
      </w:r>
      <w:r w:rsidRPr="00AD6BA5">
        <w:rPr>
          <w:rFonts w:cstheme="minorHAnsi"/>
          <w:b/>
          <w:sz w:val="24"/>
          <w:szCs w:val="24"/>
        </w:rPr>
        <w:t xml:space="preserve"> regions (including LGAs) have an overall execution rate of 94.3 percent in 2012/13</w:t>
      </w:r>
      <w:r w:rsidRPr="00FD6CBA">
        <w:rPr>
          <w:rFonts w:cstheme="minorHAnsi"/>
          <w:sz w:val="24"/>
          <w:szCs w:val="24"/>
        </w:rPr>
        <w:t>. Most regions have an execution rate above 85</w:t>
      </w:r>
      <w:r>
        <w:rPr>
          <w:rFonts w:cstheme="minorHAnsi"/>
          <w:sz w:val="24"/>
          <w:szCs w:val="24"/>
        </w:rPr>
        <w:t xml:space="preserve"> percent</w:t>
      </w:r>
      <w:r w:rsidRPr="00FD6CBA">
        <w:rPr>
          <w:rFonts w:cstheme="minorHAnsi"/>
          <w:sz w:val="24"/>
          <w:szCs w:val="24"/>
        </w:rPr>
        <w:t>, with a reported 100</w:t>
      </w:r>
      <w:r>
        <w:rPr>
          <w:rFonts w:cstheme="minorHAnsi"/>
          <w:sz w:val="24"/>
          <w:szCs w:val="24"/>
        </w:rPr>
        <w:t xml:space="preserve"> percent</w:t>
      </w:r>
      <w:r w:rsidRPr="00FD6CBA">
        <w:rPr>
          <w:rFonts w:cstheme="minorHAnsi"/>
          <w:sz w:val="24"/>
          <w:szCs w:val="24"/>
        </w:rPr>
        <w:t xml:space="preserve"> in </w:t>
      </w:r>
      <w:proofErr w:type="spellStart"/>
      <w:r w:rsidRPr="00FD6CBA">
        <w:rPr>
          <w:rFonts w:cstheme="minorHAnsi"/>
          <w:sz w:val="24"/>
          <w:szCs w:val="24"/>
        </w:rPr>
        <w:t>Kigoma</w:t>
      </w:r>
      <w:proofErr w:type="spellEnd"/>
      <w:r w:rsidRPr="00FD6CBA">
        <w:rPr>
          <w:rFonts w:cstheme="minorHAnsi"/>
          <w:sz w:val="24"/>
          <w:szCs w:val="24"/>
        </w:rPr>
        <w:t xml:space="preserve"> and virtually 100</w:t>
      </w:r>
      <w:r>
        <w:rPr>
          <w:rFonts w:cstheme="minorHAnsi"/>
          <w:sz w:val="24"/>
          <w:szCs w:val="24"/>
        </w:rPr>
        <w:t xml:space="preserve"> percent</w:t>
      </w:r>
      <w:r w:rsidRPr="00FD6CBA">
        <w:rPr>
          <w:rFonts w:cstheme="minorHAnsi"/>
          <w:sz w:val="24"/>
          <w:szCs w:val="24"/>
        </w:rPr>
        <w:t xml:space="preserve"> in three other regions. </w:t>
      </w:r>
      <w:proofErr w:type="spellStart"/>
      <w:r w:rsidRPr="00FD6CBA">
        <w:rPr>
          <w:rFonts w:cstheme="minorHAnsi"/>
          <w:sz w:val="24"/>
          <w:szCs w:val="24"/>
        </w:rPr>
        <w:t>Geita</w:t>
      </w:r>
      <w:proofErr w:type="spellEnd"/>
      <w:r w:rsidRPr="00FD6CBA">
        <w:rPr>
          <w:rFonts w:cstheme="minorHAnsi"/>
          <w:sz w:val="24"/>
          <w:szCs w:val="24"/>
        </w:rPr>
        <w:t xml:space="preserve"> is an outlier with just 39</w:t>
      </w:r>
      <w:r>
        <w:rPr>
          <w:rFonts w:cstheme="minorHAnsi"/>
          <w:sz w:val="24"/>
          <w:szCs w:val="24"/>
        </w:rPr>
        <w:t xml:space="preserve"> percent</w:t>
      </w:r>
      <w:r w:rsidRPr="00FD6CBA">
        <w:rPr>
          <w:rFonts w:cstheme="minorHAnsi"/>
          <w:sz w:val="24"/>
          <w:szCs w:val="24"/>
        </w:rPr>
        <w:t xml:space="preserve"> execution. There was no Regional outturn data. However, u</w:t>
      </w:r>
      <w:r w:rsidRPr="00FD6CBA">
        <w:rPr>
          <w:sz w:val="24"/>
          <w:szCs w:val="24"/>
        </w:rPr>
        <w:t xml:space="preserve">sing PMO-RALG data, we can see that there was a wide variation in the education budget execution rates for individual districts </w:t>
      </w:r>
      <w:r w:rsidRPr="00FD6CBA">
        <w:rPr>
          <w:rFonts w:cstheme="minorHAnsi"/>
          <w:sz w:val="24"/>
          <w:szCs w:val="24"/>
        </w:rPr>
        <w:t>ranging from a low of 21.6</w:t>
      </w:r>
      <w:r>
        <w:rPr>
          <w:rFonts w:cstheme="minorHAnsi"/>
          <w:sz w:val="24"/>
          <w:szCs w:val="24"/>
        </w:rPr>
        <w:t xml:space="preserve"> percent</w:t>
      </w:r>
      <w:r w:rsidRPr="00FD6CBA">
        <w:rPr>
          <w:rFonts w:cstheme="minorHAnsi"/>
          <w:sz w:val="24"/>
          <w:szCs w:val="24"/>
        </w:rPr>
        <w:t xml:space="preserve"> in </w:t>
      </w:r>
      <w:proofErr w:type="spellStart"/>
      <w:r w:rsidRPr="00FD6CBA">
        <w:rPr>
          <w:rFonts w:cstheme="minorHAnsi"/>
          <w:sz w:val="24"/>
          <w:szCs w:val="24"/>
        </w:rPr>
        <w:t>Bahi</w:t>
      </w:r>
      <w:proofErr w:type="spellEnd"/>
      <w:r w:rsidRPr="00FD6CBA">
        <w:rPr>
          <w:rFonts w:cstheme="minorHAnsi"/>
          <w:sz w:val="24"/>
          <w:szCs w:val="24"/>
        </w:rPr>
        <w:t xml:space="preserve"> District to a high of 121.4</w:t>
      </w:r>
      <w:r>
        <w:rPr>
          <w:rFonts w:cstheme="minorHAnsi"/>
          <w:sz w:val="24"/>
          <w:szCs w:val="24"/>
        </w:rPr>
        <w:t xml:space="preserve"> percent</w:t>
      </w:r>
      <w:r w:rsidRPr="00FD6CBA">
        <w:rPr>
          <w:rFonts w:cstheme="minorHAnsi"/>
          <w:sz w:val="24"/>
          <w:szCs w:val="24"/>
        </w:rPr>
        <w:t xml:space="preserve"> in </w:t>
      </w:r>
      <w:proofErr w:type="spellStart"/>
      <w:r w:rsidRPr="00FD6CBA">
        <w:rPr>
          <w:rFonts w:cstheme="minorHAnsi"/>
          <w:sz w:val="24"/>
          <w:szCs w:val="24"/>
        </w:rPr>
        <w:t>Lushoto</w:t>
      </w:r>
      <w:proofErr w:type="spellEnd"/>
      <w:r w:rsidRPr="00FD6CBA">
        <w:rPr>
          <w:rFonts w:cstheme="minorHAnsi"/>
          <w:sz w:val="24"/>
          <w:szCs w:val="24"/>
        </w:rPr>
        <w:t xml:space="preserve"> District</w:t>
      </w:r>
      <w:r w:rsidRPr="00FD6CBA">
        <w:rPr>
          <w:rStyle w:val="FootnoteReference"/>
          <w:rFonts w:cstheme="minorHAnsi"/>
          <w:sz w:val="24"/>
          <w:szCs w:val="24"/>
        </w:rPr>
        <w:footnoteReference w:id="7"/>
      </w:r>
      <w:r w:rsidRPr="00FD6CBA">
        <w:rPr>
          <w:rFonts w:cstheme="minorHAnsi"/>
          <w:sz w:val="24"/>
          <w:szCs w:val="24"/>
        </w:rPr>
        <w:t xml:space="preserve">. The Government should investigate reasons for the large geographical inequality in regional spending per student and </w:t>
      </w:r>
      <w:proofErr w:type="spellStart"/>
      <w:r w:rsidRPr="00FD6CBA">
        <w:rPr>
          <w:rFonts w:cstheme="minorHAnsi"/>
          <w:sz w:val="24"/>
          <w:szCs w:val="24"/>
        </w:rPr>
        <w:t>prioritise</w:t>
      </w:r>
      <w:proofErr w:type="spellEnd"/>
      <w:r w:rsidRPr="00FD6CBA">
        <w:rPr>
          <w:rFonts w:cstheme="minorHAnsi"/>
          <w:sz w:val="24"/>
          <w:szCs w:val="24"/>
        </w:rPr>
        <w:t xml:space="preserve"> greater equity in resource allocation.</w:t>
      </w:r>
      <w:r w:rsidRPr="00FD6CBA">
        <w:rPr>
          <w:rStyle w:val="FootnoteReference"/>
          <w:rFonts w:cstheme="minorHAnsi"/>
          <w:sz w:val="24"/>
          <w:szCs w:val="24"/>
        </w:rPr>
        <w:footnoteReference w:id="8"/>
      </w:r>
    </w:p>
    <w:p w:rsidR="00B3649F" w:rsidRPr="00FD6CBA" w:rsidRDefault="00B3649F" w:rsidP="00B3649F">
      <w:pPr>
        <w:pStyle w:val="ListParagraph"/>
        <w:spacing w:after="0" w:line="240" w:lineRule="auto"/>
        <w:ind w:left="0"/>
        <w:mirrorIndents/>
        <w:jc w:val="both"/>
        <w:rPr>
          <w:rFonts w:cstheme="minorHAnsi"/>
          <w:sz w:val="24"/>
          <w:szCs w:val="24"/>
        </w:rPr>
      </w:pPr>
    </w:p>
    <w:p w:rsidR="00B3649F" w:rsidRPr="00FD6CBA" w:rsidRDefault="00B3649F" w:rsidP="00B3649F">
      <w:pPr>
        <w:pStyle w:val="ListParagraph"/>
        <w:spacing w:after="0" w:line="240" w:lineRule="auto"/>
        <w:ind w:left="0"/>
        <w:mirrorIndents/>
        <w:jc w:val="both"/>
        <w:rPr>
          <w:rFonts w:cstheme="minorHAnsi"/>
          <w:i/>
          <w:sz w:val="24"/>
          <w:szCs w:val="24"/>
        </w:rPr>
      </w:pPr>
      <w:r w:rsidRPr="00FD6CBA">
        <w:rPr>
          <w:rFonts w:cstheme="minorHAnsi"/>
          <w:i/>
          <w:sz w:val="24"/>
          <w:szCs w:val="24"/>
        </w:rPr>
        <w:t xml:space="preserve">2013/14 </w:t>
      </w:r>
      <w:r>
        <w:rPr>
          <w:rFonts w:cstheme="minorHAnsi"/>
          <w:i/>
          <w:sz w:val="24"/>
          <w:szCs w:val="24"/>
        </w:rPr>
        <w:t>approved b</w:t>
      </w:r>
      <w:r w:rsidRPr="00FD6CBA">
        <w:rPr>
          <w:rFonts w:cstheme="minorHAnsi"/>
          <w:i/>
          <w:sz w:val="24"/>
          <w:szCs w:val="24"/>
        </w:rPr>
        <w:t>udget</w:t>
      </w:r>
    </w:p>
    <w:p w:rsidR="00B3649F" w:rsidRPr="00FD6CBA" w:rsidRDefault="00B3649F" w:rsidP="00B3649F">
      <w:pPr>
        <w:pStyle w:val="ListParagraph"/>
        <w:spacing w:after="0" w:line="240" w:lineRule="auto"/>
        <w:ind w:left="0"/>
        <w:mirrorIndents/>
        <w:jc w:val="both"/>
        <w:rPr>
          <w:rFonts w:cstheme="minorHAnsi"/>
          <w:i/>
          <w:sz w:val="24"/>
          <w:szCs w:val="24"/>
        </w:rPr>
      </w:pPr>
    </w:p>
    <w:p w:rsidR="00B3649F" w:rsidRPr="00FD6CBA" w:rsidRDefault="00E46680" w:rsidP="00B3649F">
      <w:pPr>
        <w:numPr>
          <w:ilvl w:val="0"/>
          <w:numId w:val="30"/>
        </w:numPr>
        <w:tabs>
          <w:tab w:val="num" w:pos="720"/>
        </w:tabs>
        <w:spacing w:after="0" w:line="240" w:lineRule="auto"/>
        <w:ind w:left="0" w:firstLine="0"/>
        <w:contextualSpacing/>
        <w:mirrorIndents/>
        <w:jc w:val="both"/>
        <w:rPr>
          <w:rFonts w:cstheme="minorHAnsi"/>
          <w:sz w:val="24"/>
          <w:szCs w:val="24"/>
        </w:rPr>
      </w:pPr>
      <w:r>
        <w:rPr>
          <w:rFonts w:cstheme="minorHAnsi"/>
          <w:b/>
          <w:sz w:val="24"/>
          <w:szCs w:val="24"/>
        </w:rPr>
        <w:t>The e</w:t>
      </w:r>
      <w:r w:rsidR="00B3649F" w:rsidRPr="00B04A3B">
        <w:rPr>
          <w:rFonts w:cstheme="minorHAnsi"/>
          <w:b/>
          <w:sz w:val="24"/>
          <w:szCs w:val="24"/>
        </w:rPr>
        <w:t>ducation sector budget</w:t>
      </w:r>
      <w:r>
        <w:rPr>
          <w:rFonts w:cstheme="minorHAnsi"/>
          <w:b/>
          <w:sz w:val="24"/>
          <w:szCs w:val="24"/>
        </w:rPr>
        <w:t xml:space="preserve"> is</w:t>
      </w:r>
      <w:r w:rsidR="00B3649F" w:rsidRPr="00B04A3B">
        <w:rPr>
          <w:rFonts w:cstheme="minorHAnsi"/>
          <w:b/>
          <w:sz w:val="24"/>
          <w:szCs w:val="24"/>
        </w:rPr>
        <w:t xml:space="preserve"> broadly in line </w:t>
      </w:r>
      <w:r>
        <w:rPr>
          <w:rFonts w:cstheme="minorHAnsi"/>
          <w:b/>
          <w:sz w:val="24"/>
          <w:szCs w:val="24"/>
        </w:rPr>
        <w:t xml:space="preserve">with </w:t>
      </w:r>
      <w:r w:rsidR="00B3649F" w:rsidRPr="00B04A3B">
        <w:rPr>
          <w:rFonts w:cstheme="minorHAnsi"/>
          <w:b/>
          <w:sz w:val="24"/>
          <w:szCs w:val="24"/>
        </w:rPr>
        <w:t>sector policy priorities</w:t>
      </w:r>
      <w:r w:rsidR="00B3649F">
        <w:rPr>
          <w:rFonts w:cstheme="minorHAnsi"/>
          <w:sz w:val="24"/>
          <w:szCs w:val="24"/>
        </w:rPr>
        <w:t xml:space="preserve">: </w:t>
      </w:r>
      <w:r w:rsidR="00B3649F" w:rsidRPr="00FD6CBA">
        <w:rPr>
          <w:rFonts w:cstheme="minorHAnsi"/>
          <w:sz w:val="24"/>
          <w:szCs w:val="24"/>
        </w:rPr>
        <w:t xml:space="preserve">Education remains the largest spending sector but its share of </w:t>
      </w:r>
      <w:r w:rsidR="00B3649F">
        <w:rPr>
          <w:rFonts w:cstheme="minorHAnsi"/>
          <w:sz w:val="24"/>
          <w:szCs w:val="24"/>
        </w:rPr>
        <w:t xml:space="preserve">total </w:t>
      </w:r>
      <w:r w:rsidR="00B3649F" w:rsidRPr="00FD6CBA">
        <w:rPr>
          <w:rFonts w:cstheme="minorHAnsi"/>
          <w:sz w:val="24"/>
          <w:szCs w:val="24"/>
        </w:rPr>
        <w:t>government budget</w:t>
      </w:r>
      <w:r w:rsidR="00B3649F">
        <w:rPr>
          <w:rFonts w:cstheme="minorHAnsi"/>
          <w:sz w:val="24"/>
          <w:szCs w:val="24"/>
        </w:rPr>
        <w:t xml:space="preserve"> </w:t>
      </w:r>
      <w:r w:rsidR="00B3649F" w:rsidRPr="00FD6CBA">
        <w:rPr>
          <w:rFonts w:cstheme="minorHAnsi"/>
          <w:sz w:val="24"/>
          <w:szCs w:val="24"/>
        </w:rPr>
        <w:t xml:space="preserve">has reduced </w:t>
      </w:r>
      <w:r w:rsidR="00B3649F">
        <w:rPr>
          <w:rFonts w:cstheme="minorHAnsi"/>
          <w:sz w:val="24"/>
          <w:szCs w:val="24"/>
        </w:rPr>
        <w:t xml:space="preserve">to </w:t>
      </w:r>
      <w:r w:rsidR="004B1D28">
        <w:rPr>
          <w:rFonts w:cstheme="minorHAnsi"/>
          <w:sz w:val="24"/>
          <w:szCs w:val="24"/>
        </w:rPr>
        <w:t>19.6</w:t>
      </w:r>
      <w:r w:rsidR="00B3649F">
        <w:rPr>
          <w:rFonts w:cstheme="minorHAnsi"/>
          <w:sz w:val="24"/>
          <w:szCs w:val="24"/>
        </w:rPr>
        <w:t xml:space="preserve"> percent in </w:t>
      </w:r>
      <w:r w:rsidR="00B3649F" w:rsidRPr="00FD6CBA">
        <w:rPr>
          <w:rFonts w:cstheme="minorHAnsi"/>
          <w:sz w:val="24"/>
          <w:szCs w:val="24"/>
        </w:rPr>
        <w:t>2013/14 budget, down from 2</w:t>
      </w:r>
      <w:r w:rsidR="004B1D28">
        <w:rPr>
          <w:rFonts w:cstheme="minorHAnsi"/>
          <w:sz w:val="24"/>
          <w:szCs w:val="24"/>
        </w:rPr>
        <w:t>1.2</w:t>
      </w:r>
      <w:r w:rsidR="00B3649F">
        <w:rPr>
          <w:rFonts w:cstheme="minorHAnsi"/>
          <w:sz w:val="24"/>
          <w:szCs w:val="24"/>
        </w:rPr>
        <w:t xml:space="preserve"> percent in total </w:t>
      </w:r>
      <w:r w:rsidR="004B1D28">
        <w:rPr>
          <w:rFonts w:cstheme="minorHAnsi"/>
          <w:sz w:val="24"/>
          <w:szCs w:val="24"/>
        </w:rPr>
        <w:t xml:space="preserve">Government budget </w:t>
      </w:r>
      <w:r w:rsidR="00B3649F" w:rsidRPr="00FD6CBA">
        <w:rPr>
          <w:rFonts w:cstheme="minorHAnsi"/>
          <w:sz w:val="24"/>
          <w:szCs w:val="24"/>
        </w:rPr>
        <w:t xml:space="preserve">in 2012/13. </w:t>
      </w:r>
    </w:p>
    <w:p w:rsidR="00B3649F" w:rsidRPr="00FD6CBA" w:rsidRDefault="00B3649F" w:rsidP="00B3649F">
      <w:pPr>
        <w:pStyle w:val="ListParagraph"/>
        <w:spacing w:after="0" w:line="240" w:lineRule="auto"/>
        <w:ind w:left="0"/>
        <w:mirrorIndents/>
        <w:jc w:val="both"/>
        <w:rPr>
          <w:rFonts w:cstheme="minorHAnsi"/>
          <w:sz w:val="24"/>
          <w:szCs w:val="24"/>
        </w:rPr>
      </w:pPr>
    </w:p>
    <w:p w:rsidR="009D2927" w:rsidRPr="009D2927" w:rsidRDefault="00B3649F" w:rsidP="009D2927">
      <w:pPr>
        <w:numPr>
          <w:ilvl w:val="0"/>
          <w:numId w:val="30"/>
        </w:numPr>
        <w:tabs>
          <w:tab w:val="num" w:pos="720"/>
        </w:tabs>
        <w:spacing w:after="0" w:line="240" w:lineRule="auto"/>
        <w:ind w:left="0" w:firstLine="0"/>
        <w:contextualSpacing/>
        <w:mirrorIndents/>
        <w:jc w:val="both"/>
        <w:rPr>
          <w:rFonts w:cstheme="minorHAnsi"/>
          <w:sz w:val="24"/>
          <w:szCs w:val="24"/>
        </w:rPr>
      </w:pPr>
      <w:r w:rsidRPr="004B1D28">
        <w:rPr>
          <w:rFonts w:cstheme="minorHAnsi"/>
          <w:b/>
          <w:sz w:val="24"/>
          <w:szCs w:val="24"/>
        </w:rPr>
        <w:t>Education sector spending as a share of GDP remains relatively high for a developing country at 5.9 percent</w:t>
      </w:r>
      <w:r w:rsidRPr="00FD6CBA">
        <w:rPr>
          <w:rFonts w:cstheme="minorHAnsi"/>
          <w:sz w:val="24"/>
          <w:szCs w:val="24"/>
        </w:rPr>
        <w:t xml:space="preserve">, but budget execution </w:t>
      </w:r>
      <w:r>
        <w:rPr>
          <w:rFonts w:cstheme="minorHAnsi"/>
          <w:sz w:val="24"/>
          <w:szCs w:val="24"/>
        </w:rPr>
        <w:t xml:space="preserve">needs to continue improving </w:t>
      </w:r>
      <w:r w:rsidR="00E46680">
        <w:rPr>
          <w:rFonts w:cstheme="minorHAnsi"/>
          <w:sz w:val="24"/>
          <w:szCs w:val="24"/>
        </w:rPr>
        <w:t>to ensure results on the ground.</w:t>
      </w:r>
    </w:p>
    <w:p w:rsidR="00B3649F" w:rsidRPr="009D2927" w:rsidRDefault="00B3649F" w:rsidP="009D2927">
      <w:pPr>
        <w:spacing w:after="0" w:line="240" w:lineRule="auto"/>
        <w:jc w:val="both"/>
        <w:rPr>
          <w:rFonts w:eastAsiaTheme="minorHAnsi" w:cstheme="minorHAnsi"/>
          <w:sz w:val="24"/>
          <w:szCs w:val="24"/>
        </w:rPr>
      </w:pPr>
    </w:p>
    <w:p w:rsidR="00B3649F" w:rsidRPr="00FD6CBA" w:rsidRDefault="00F347C0" w:rsidP="00B3649F">
      <w:pPr>
        <w:numPr>
          <w:ilvl w:val="0"/>
          <w:numId w:val="30"/>
        </w:numPr>
        <w:tabs>
          <w:tab w:val="num" w:pos="720"/>
        </w:tabs>
        <w:spacing w:after="0" w:line="240" w:lineRule="auto"/>
        <w:ind w:left="0" w:firstLine="0"/>
        <w:contextualSpacing/>
        <w:mirrorIndents/>
        <w:jc w:val="both"/>
        <w:rPr>
          <w:rFonts w:cstheme="minorHAnsi"/>
          <w:sz w:val="24"/>
          <w:szCs w:val="24"/>
        </w:rPr>
      </w:pPr>
      <w:r>
        <w:rPr>
          <w:rFonts w:cstheme="minorHAnsi"/>
          <w:b/>
          <w:sz w:val="24"/>
          <w:szCs w:val="24"/>
        </w:rPr>
        <w:t xml:space="preserve">An increasing </w:t>
      </w:r>
      <w:r w:rsidR="00B3649F" w:rsidRPr="006B0BB0">
        <w:rPr>
          <w:rFonts w:cstheme="minorHAnsi"/>
          <w:b/>
          <w:sz w:val="24"/>
          <w:szCs w:val="24"/>
        </w:rPr>
        <w:t xml:space="preserve">share of </w:t>
      </w:r>
      <w:r w:rsidR="00E46680">
        <w:rPr>
          <w:rFonts w:cstheme="minorHAnsi"/>
          <w:b/>
          <w:sz w:val="24"/>
          <w:szCs w:val="24"/>
        </w:rPr>
        <w:t xml:space="preserve">the </w:t>
      </w:r>
      <w:r w:rsidR="00B3649F" w:rsidRPr="006B0BB0">
        <w:rPr>
          <w:rFonts w:cstheme="minorHAnsi"/>
          <w:b/>
          <w:sz w:val="24"/>
          <w:szCs w:val="24"/>
        </w:rPr>
        <w:t>education sector budget is being decentralized.</w:t>
      </w:r>
      <w:r w:rsidR="00B3649F">
        <w:rPr>
          <w:rFonts w:cstheme="minorHAnsi"/>
          <w:sz w:val="24"/>
          <w:szCs w:val="24"/>
        </w:rPr>
        <w:t xml:space="preserve"> </w:t>
      </w:r>
      <w:r w:rsidR="00B3649F" w:rsidRPr="00FD6CBA">
        <w:rPr>
          <w:rFonts w:cstheme="minorHAnsi"/>
          <w:sz w:val="24"/>
          <w:szCs w:val="24"/>
        </w:rPr>
        <w:t>Around 70</w:t>
      </w:r>
      <w:r w:rsidR="00B3649F">
        <w:rPr>
          <w:rFonts w:cstheme="minorHAnsi"/>
          <w:sz w:val="24"/>
          <w:szCs w:val="24"/>
        </w:rPr>
        <w:t xml:space="preserve"> percent</w:t>
      </w:r>
      <w:r w:rsidR="00B3649F" w:rsidRPr="00FD6CBA">
        <w:rPr>
          <w:rFonts w:cstheme="minorHAnsi"/>
          <w:sz w:val="24"/>
          <w:szCs w:val="24"/>
        </w:rPr>
        <w:t xml:space="preserve"> of the education sector budget in 2013/14 </w:t>
      </w:r>
      <w:r w:rsidR="00E46680">
        <w:rPr>
          <w:rFonts w:cstheme="minorHAnsi"/>
          <w:sz w:val="24"/>
          <w:szCs w:val="24"/>
        </w:rPr>
        <w:t>will be</w:t>
      </w:r>
      <w:r w:rsidR="00B3649F" w:rsidRPr="00FD6CBA">
        <w:rPr>
          <w:rFonts w:cstheme="minorHAnsi"/>
          <w:sz w:val="24"/>
          <w:szCs w:val="24"/>
        </w:rPr>
        <w:t xml:space="preserve"> decentralized, up from 65</w:t>
      </w:r>
      <w:r w:rsidR="00B3649F">
        <w:rPr>
          <w:rFonts w:cstheme="minorHAnsi"/>
          <w:sz w:val="24"/>
          <w:szCs w:val="24"/>
        </w:rPr>
        <w:t xml:space="preserve"> percent</w:t>
      </w:r>
      <w:r w:rsidR="00B3649F" w:rsidRPr="00FD6CBA">
        <w:rPr>
          <w:rFonts w:cstheme="minorHAnsi"/>
          <w:sz w:val="24"/>
          <w:szCs w:val="24"/>
        </w:rPr>
        <w:t xml:space="preserve"> in the 2012/13 budget. This demonstrates an on-going commitment to spend more of the education budget at </w:t>
      </w:r>
      <w:r w:rsidR="00E46680">
        <w:rPr>
          <w:rFonts w:cstheme="minorHAnsi"/>
          <w:sz w:val="24"/>
          <w:szCs w:val="24"/>
        </w:rPr>
        <w:t xml:space="preserve">the </w:t>
      </w:r>
      <w:r w:rsidR="00B3649F" w:rsidRPr="00FD6CBA">
        <w:rPr>
          <w:rFonts w:cstheme="minorHAnsi"/>
          <w:sz w:val="24"/>
          <w:szCs w:val="24"/>
        </w:rPr>
        <w:t>district level</w:t>
      </w:r>
      <w:r w:rsidR="00B3649F">
        <w:rPr>
          <w:rFonts w:cstheme="minorHAnsi"/>
          <w:sz w:val="24"/>
          <w:szCs w:val="24"/>
        </w:rPr>
        <w:t xml:space="preserve"> to improve the quality of primary and secondary education</w:t>
      </w:r>
      <w:r w:rsidR="00B3649F" w:rsidRPr="00FD6CBA">
        <w:rPr>
          <w:rFonts w:cstheme="minorHAnsi"/>
          <w:sz w:val="24"/>
          <w:szCs w:val="24"/>
        </w:rPr>
        <w:t xml:space="preserve">. </w:t>
      </w:r>
    </w:p>
    <w:p w:rsidR="00B3649F" w:rsidRPr="00FD6CBA" w:rsidRDefault="00B3649F" w:rsidP="00B3649F">
      <w:pPr>
        <w:pStyle w:val="ListParagraph"/>
        <w:spacing w:after="0" w:line="240" w:lineRule="auto"/>
        <w:ind w:left="0"/>
        <w:jc w:val="both"/>
        <w:rPr>
          <w:rFonts w:cstheme="minorHAnsi"/>
          <w:sz w:val="24"/>
          <w:szCs w:val="24"/>
        </w:rPr>
      </w:pPr>
    </w:p>
    <w:p w:rsidR="00B3649F" w:rsidRPr="00FD6CBA" w:rsidRDefault="00B3649F" w:rsidP="00B3649F">
      <w:pPr>
        <w:numPr>
          <w:ilvl w:val="0"/>
          <w:numId w:val="30"/>
        </w:numPr>
        <w:tabs>
          <w:tab w:val="num" w:pos="720"/>
        </w:tabs>
        <w:spacing w:after="0" w:line="240" w:lineRule="auto"/>
        <w:ind w:left="0" w:firstLine="0"/>
        <w:contextualSpacing/>
        <w:mirrorIndents/>
        <w:jc w:val="both"/>
        <w:rPr>
          <w:rFonts w:cstheme="minorHAnsi"/>
          <w:sz w:val="24"/>
          <w:szCs w:val="24"/>
        </w:rPr>
      </w:pPr>
      <w:r w:rsidRPr="00DB137F">
        <w:rPr>
          <w:rFonts w:cstheme="minorHAnsi"/>
          <w:b/>
          <w:sz w:val="24"/>
          <w:szCs w:val="24"/>
        </w:rPr>
        <w:t>There is high volatility in the decentralized development budget</w:t>
      </w:r>
      <w:r w:rsidR="00E46680">
        <w:rPr>
          <w:rFonts w:cstheme="minorHAnsi"/>
          <w:b/>
          <w:sz w:val="24"/>
          <w:szCs w:val="24"/>
        </w:rPr>
        <w:t xml:space="preserve"> for education</w:t>
      </w:r>
      <w:r w:rsidRPr="00FD6CBA">
        <w:rPr>
          <w:rFonts w:cstheme="minorHAnsi"/>
          <w:sz w:val="24"/>
          <w:szCs w:val="24"/>
        </w:rPr>
        <w:t xml:space="preserve"> – the 902</w:t>
      </w:r>
      <w:r>
        <w:rPr>
          <w:rFonts w:cstheme="minorHAnsi"/>
          <w:sz w:val="24"/>
          <w:szCs w:val="24"/>
        </w:rPr>
        <w:t xml:space="preserve"> percent</w:t>
      </w:r>
      <w:r w:rsidRPr="00FD6CBA">
        <w:rPr>
          <w:rFonts w:cstheme="minorHAnsi"/>
          <w:sz w:val="24"/>
          <w:szCs w:val="24"/>
        </w:rPr>
        <w:t xml:space="preserve"> rise this year follows a 97</w:t>
      </w:r>
      <w:r>
        <w:rPr>
          <w:rFonts w:cstheme="minorHAnsi"/>
          <w:sz w:val="24"/>
          <w:szCs w:val="24"/>
        </w:rPr>
        <w:t xml:space="preserve"> percent</w:t>
      </w:r>
      <w:r w:rsidRPr="00FD6CBA">
        <w:rPr>
          <w:rFonts w:cstheme="minorHAnsi"/>
          <w:sz w:val="24"/>
          <w:szCs w:val="24"/>
        </w:rPr>
        <w:t xml:space="preserve"> drop from 2010/11 to 2011/12. This seems to be due to its substitutability with </w:t>
      </w:r>
      <w:r>
        <w:rPr>
          <w:rFonts w:cstheme="minorHAnsi"/>
          <w:sz w:val="24"/>
          <w:szCs w:val="24"/>
        </w:rPr>
        <w:t>LGAs</w:t>
      </w:r>
      <w:r w:rsidRPr="00FD6CBA">
        <w:rPr>
          <w:rFonts w:cstheme="minorHAnsi"/>
          <w:sz w:val="24"/>
          <w:szCs w:val="24"/>
        </w:rPr>
        <w:t xml:space="preserve"> development expenditure, with rises and falls largely offset there. It might also be a reward for improvements in execution, 67</w:t>
      </w:r>
      <w:r>
        <w:rPr>
          <w:rFonts w:cstheme="minorHAnsi"/>
          <w:sz w:val="24"/>
          <w:szCs w:val="24"/>
        </w:rPr>
        <w:t xml:space="preserve"> percent</w:t>
      </w:r>
      <w:r w:rsidRPr="00FD6CBA">
        <w:rPr>
          <w:rFonts w:cstheme="minorHAnsi"/>
          <w:sz w:val="24"/>
          <w:szCs w:val="24"/>
        </w:rPr>
        <w:t xml:space="preserve"> in 2011/12 </w:t>
      </w:r>
      <w:r w:rsidRPr="00FD6CBA">
        <w:rPr>
          <w:rFonts w:cstheme="minorHAnsi"/>
          <w:sz w:val="24"/>
          <w:szCs w:val="24"/>
        </w:rPr>
        <w:lastRenderedPageBreak/>
        <w:t>compared to 26</w:t>
      </w:r>
      <w:r>
        <w:rPr>
          <w:rFonts w:cstheme="minorHAnsi"/>
          <w:sz w:val="24"/>
          <w:szCs w:val="24"/>
        </w:rPr>
        <w:t xml:space="preserve"> percent</w:t>
      </w:r>
      <w:r w:rsidRPr="00FD6CBA">
        <w:rPr>
          <w:rFonts w:cstheme="minorHAnsi"/>
          <w:sz w:val="24"/>
          <w:szCs w:val="24"/>
        </w:rPr>
        <w:t xml:space="preserve"> in 2010/11. The decentralized development budget constitutes 21</w:t>
      </w:r>
      <w:r>
        <w:rPr>
          <w:rFonts w:cstheme="minorHAnsi"/>
          <w:sz w:val="24"/>
          <w:szCs w:val="24"/>
        </w:rPr>
        <w:t xml:space="preserve"> percent</w:t>
      </w:r>
      <w:r w:rsidRPr="00FD6CBA">
        <w:rPr>
          <w:rFonts w:cstheme="minorHAnsi"/>
          <w:sz w:val="24"/>
          <w:szCs w:val="24"/>
        </w:rPr>
        <w:t xml:space="preserve"> of the total education development budget this year.</w:t>
      </w:r>
    </w:p>
    <w:p w:rsidR="00B3649F" w:rsidRPr="00FD6CBA" w:rsidRDefault="00B3649F" w:rsidP="00B3649F">
      <w:pPr>
        <w:pStyle w:val="ListParagraph"/>
        <w:spacing w:after="0" w:line="240" w:lineRule="auto"/>
        <w:ind w:left="0"/>
        <w:jc w:val="both"/>
        <w:rPr>
          <w:rFonts w:cstheme="minorHAnsi"/>
          <w:sz w:val="24"/>
          <w:szCs w:val="24"/>
        </w:rPr>
      </w:pPr>
    </w:p>
    <w:p w:rsidR="00B3649F" w:rsidRPr="00FD6CBA" w:rsidRDefault="00B3649F" w:rsidP="00B3649F">
      <w:pPr>
        <w:numPr>
          <w:ilvl w:val="0"/>
          <w:numId w:val="30"/>
        </w:numPr>
        <w:tabs>
          <w:tab w:val="num" w:pos="720"/>
        </w:tabs>
        <w:spacing w:after="0" w:line="240" w:lineRule="auto"/>
        <w:ind w:left="0" w:firstLine="0"/>
        <w:contextualSpacing/>
        <w:mirrorIndents/>
        <w:jc w:val="both"/>
        <w:rPr>
          <w:rFonts w:cstheme="minorHAnsi"/>
          <w:sz w:val="24"/>
          <w:szCs w:val="24"/>
        </w:rPr>
      </w:pPr>
      <w:r w:rsidRPr="005D103B">
        <w:rPr>
          <w:rFonts w:cstheme="minorHAnsi"/>
          <w:b/>
          <w:sz w:val="24"/>
          <w:szCs w:val="24"/>
        </w:rPr>
        <w:t>The total wage bill (including allowances) has continued to increase</w:t>
      </w:r>
      <w:r w:rsidRPr="00FD6CBA">
        <w:rPr>
          <w:rFonts w:cstheme="minorHAnsi"/>
          <w:sz w:val="24"/>
          <w:szCs w:val="24"/>
        </w:rPr>
        <w:t xml:space="preserve"> </w:t>
      </w:r>
      <w:r w:rsidRPr="005D103B">
        <w:rPr>
          <w:rFonts w:cstheme="minorHAnsi"/>
          <w:b/>
          <w:sz w:val="24"/>
          <w:szCs w:val="24"/>
        </w:rPr>
        <w:t xml:space="preserve">mainly on account </w:t>
      </w:r>
      <w:r w:rsidR="00E46680">
        <w:rPr>
          <w:rFonts w:cstheme="minorHAnsi"/>
          <w:b/>
          <w:sz w:val="24"/>
          <w:szCs w:val="24"/>
        </w:rPr>
        <w:t xml:space="preserve">of a </w:t>
      </w:r>
      <w:r w:rsidRPr="005D103B">
        <w:rPr>
          <w:rFonts w:cstheme="minorHAnsi"/>
          <w:b/>
          <w:sz w:val="24"/>
          <w:szCs w:val="24"/>
        </w:rPr>
        <w:t>rise</w:t>
      </w:r>
      <w:r w:rsidR="00E46680">
        <w:rPr>
          <w:rFonts w:cstheme="minorHAnsi"/>
          <w:b/>
          <w:sz w:val="24"/>
          <w:szCs w:val="24"/>
        </w:rPr>
        <w:t xml:space="preserve"> in the</w:t>
      </w:r>
      <w:r w:rsidRPr="005D103B">
        <w:rPr>
          <w:rFonts w:cstheme="minorHAnsi"/>
          <w:b/>
          <w:sz w:val="24"/>
          <w:szCs w:val="24"/>
        </w:rPr>
        <w:t xml:space="preserve"> minimum pay and </w:t>
      </w:r>
      <w:r w:rsidR="00E46680">
        <w:rPr>
          <w:rFonts w:cstheme="minorHAnsi"/>
          <w:b/>
          <w:sz w:val="24"/>
          <w:szCs w:val="24"/>
        </w:rPr>
        <w:t xml:space="preserve">due to the </w:t>
      </w:r>
      <w:r w:rsidRPr="005D103B">
        <w:rPr>
          <w:rFonts w:cstheme="minorHAnsi"/>
          <w:b/>
          <w:sz w:val="24"/>
          <w:szCs w:val="24"/>
        </w:rPr>
        <w:t>anticipated new hire of teachers for secondary and primary schools</w:t>
      </w:r>
      <w:r>
        <w:rPr>
          <w:rFonts w:cstheme="minorHAnsi"/>
          <w:sz w:val="24"/>
          <w:szCs w:val="24"/>
        </w:rPr>
        <w:t>. As</w:t>
      </w:r>
      <w:r w:rsidRPr="00FD6CBA">
        <w:rPr>
          <w:rFonts w:cstheme="minorHAnsi"/>
          <w:sz w:val="24"/>
          <w:szCs w:val="24"/>
        </w:rPr>
        <w:t xml:space="preserve"> a share of the total education budget </w:t>
      </w:r>
      <w:r>
        <w:rPr>
          <w:rFonts w:cstheme="minorHAnsi"/>
          <w:sz w:val="24"/>
          <w:szCs w:val="24"/>
        </w:rPr>
        <w:t>wage bill sta</w:t>
      </w:r>
      <w:r w:rsidRPr="00FD6CBA">
        <w:rPr>
          <w:rFonts w:cstheme="minorHAnsi"/>
          <w:sz w:val="24"/>
          <w:szCs w:val="24"/>
        </w:rPr>
        <w:t>nds at 64</w:t>
      </w:r>
      <w:r>
        <w:rPr>
          <w:rFonts w:cstheme="minorHAnsi"/>
          <w:sz w:val="24"/>
          <w:szCs w:val="24"/>
        </w:rPr>
        <w:t xml:space="preserve"> percent</w:t>
      </w:r>
      <w:r w:rsidRPr="00FD6CBA">
        <w:rPr>
          <w:rFonts w:cstheme="minorHAnsi"/>
          <w:sz w:val="24"/>
          <w:szCs w:val="24"/>
        </w:rPr>
        <w:t xml:space="preserve"> </w:t>
      </w:r>
      <w:r>
        <w:rPr>
          <w:rFonts w:cstheme="minorHAnsi"/>
          <w:sz w:val="24"/>
          <w:szCs w:val="24"/>
        </w:rPr>
        <w:t xml:space="preserve">of the </w:t>
      </w:r>
      <w:r w:rsidRPr="00FD6CBA">
        <w:rPr>
          <w:rFonts w:cstheme="minorHAnsi"/>
          <w:sz w:val="24"/>
          <w:szCs w:val="24"/>
        </w:rPr>
        <w:t>2013/14 budget. Basic salaries, or PE, accounts for 97</w:t>
      </w:r>
      <w:r>
        <w:rPr>
          <w:rFonts w:cstheme="minorHAnsi"/>
          <w:sz w:val="24"/>
          <w:szCs w:val="24"/>
        </w:rPr>
        <w:t xml:space="preserve"> percent</w:t>
      </w:r>
      <w:r w:rsidRPr="00FD6CBA">
        <w:rPr>
          <w:rFonts w:cstheme="minorHAnsi"/>
          <w:sz w:val="24"/>
          <w:szCs w:val="24"/>
        </w:rPr>
        <w:t xml:space="preserve"> of total wage costs, the vast majority of which is at decentralized level (i.e. for Basic and Secondary)</w:t>
      </w:r>
      <w:r w:rsidRPr="00FD6CBA">
        <w:rPr>
          <w:rStyle w:val="FootnoteReference"/>
          <w:rFonts w:cstheme="minorHAnsi"/>
          <w:sz w:val="24"/>
          <w:szCs w:val="24"/>
        </w:rPr>
        <w:footnoteReference w:id="9"/>
      </w:r>
      <w:r w:rsidRPr="00FD6CBA">
        <w:rPr>
          <w:rFonts w:cstheme="minorHAnsi"/>
          <w:sz w:val="24"/>
          <w:szCs w:val="24"/>
        </w:rPr>
        <w:t>. As execution of PE tends to be higher than other types of spend</w:t>
      </w:r>
      <w:r>
        <w:rPr>
          <w:rFonts w:cstheme="minorHAnsi"/>
          <w:sz w:val="24"/>
          <w:szCs w:val="24"/>
        </w:rPr>
        <w:t>ing</w:t>
      </w:r>
      <w:r w:rsidRPr="00FD6CBA">
        <w:rPr>
          <w:rFonts w:cstheme="minorHAnsi"/>
          <w:sz w:val="24"/>
          <w:szCs w:val="24"/>
        </w:rPr>
        <w:t xml:space="preserve"> (97</w:t>
      </w:r>
      <w:r>
        <w:rPr>
          <w:rFonts w:cstheme="minorHAnsi"/>
          <w:sz w:val="24"/>
          <w:szCs w:val="24"/>
        </w:rPr>
        <w:t xml:space="preserve"> percent</w:t>
      </w:r>
      <w:r w:rsidRPr="00FD6CBA">
        <w:rPr>
          <w:rFonts w:cstheme="minorHAnsi"/>
          <w:sz w:val="24"/>
          <w:szCs w:val="24"/>
        </w:rPr>
        <w:t xml:space="preserve"> in FY 2012/13 compared to 90</w:t>
      </w:r>
      <w:r>
        <w:rPr>
          <w:rFonts w:cstheme="minorHAnsi"/>
          <w:sz w:val="24"/>
          <w:szCs w:val="24"/>
        </w:rPr>
        <w:t xml:space="preserve"> percent</w:t>
      </w:r>
      <w:r w:rsidRPr="00FD6CBA">
        <w:rPr>
          <w:rFonts w:cstheme="minorHAnsi"/>
          <w:sz w:val="24"/>
          <w:szCs w:val="24"/>
        </w:rPr>
        <w:t xml:space="preserve"> for the sector overall) this figure is likely to rise with implementation, which would make relative wage spend in 2013/14 higher than in any other year for which data was available. The Government needs to ensure that sufficient budget is allocated for non-salary quality improvement inputs. </w:t>
      </w:r>
    </w:p>
    <w:p w:rsidR="00B3649F" w:rsidRPr="00FD6CBA" w:rsidRDefault="00B3649F" w:rsidP="00B3649F">
      <w:pPr>
        <w:pStyle w:val="ListParagraph"/>
        <w:spacing w:after="0" w:line="240" w:lineRule="auto"/>
        <w:ind w:left="0"/>
        <w:jc w:val="both"/>
        <w:rPr>
          <w:rFonts w:cstheme="minorHAnsi"/>
          <w:sz w:val="24"/>
          <w:szCs w:val="24"/>
        </w:rPr>
      </w:pPr>
    </w:p>
    <w:p w:rsidR="00B3649F" w:rsidRPr="00FD6CBA" w:rsidRDefault="00B3649F" w:rsidP="00B3649F">
      <w:pPr>
        <w:numPr>
          <w:ilvl w:val="0"/>
          <w:numId w:val="30"/>
        </w:numPr>
        <w:tabs>
          <w:tab w:val="num" w:pos="720"/>
        </w:tabs>
        <w:spacing w:after="0" w:line="240" w:lineRule="auto"/>
        <w:ind w:left="0" w:firstLine="0"/>
        <w:contextualSpacing/>
        <w:mirrorIndents/>
        <w:jc w:val="both"/>
        <w:rPr>
          <w:rFonts w:cstheme="minorHAnsi"/>
          <w:sz w:val="24"/>
          <w:szCs w:val="24"/>
        </w:rPr>
      </w:pPr>
      <w:r w:rsidRPr="009F082A">
        <w:rPr>
          <w:rFonts w:cstheme="minorHAnsi"/>
          <w:b/>
          <w:sz w:val="24"/>
          <w:szCs w:val="24"/>
        </w:rPr>
        <w:t>Estimates of nominal unit cost for basic education have increased but nominal unit cost estimates for secondary and higher education have decreased</w:t>
      </w:r>
      <w:r w:rsidRPr="00FD6CBA">
        <w:rPr>
          <w:rFonts w:cstheme="minorHAnsi"/>
          <w:sz w:val="24"/>
          <w:szCs w:val="24"/>
        </w:rPr>
        <w:t>. This could represent on-going rationalization of the Higher education budget. However, at the Secondary level, where the unit cost has decreased by Tsh 40,000, it raises concern given that increasing the quality of secondary education is a core priority given the low examination pass rates.</w:t>
      </w:r>
      <w:r w:rsidRPr="00FD6CBA">
        <w:rPr>
          <w:rStyle w:val="FootnoteReference"/>
          <w:rFonts w:cstheme="minorHAnsi"/>
          <w:sz w:val="24"/>
          <w:szCs w:val="24"/>
        </w:rPr>
        <w:footnoteReference w:id="10"/>
      </w:r>
    </w:p>
    <w:p w:rsidR="00B3649F" w:rsidRPr="00FD6CBA" w:rsidRDefault="00B3649F" w:rsidP="00B3649F">
      <w:pPr>
        <w:pStyle w:val="ListParagraph"/>
        <w:spacing w:after="0" w:line="240" w:lineRule="auto"/>
        <w:ind w:left="0"/>
        <w:jc w:val="both"/>
        <w:rPr>
          <w:rFonts w:cstheme="minorHAnsi"/>
          <w:sz w:val="24"/>
          <w:szCs w:val="24"/>
        </w:rPr>
      </w:pPr>
    </w:p>
    <w:p w:rsidR="00B3649F" w:rsidRPr="00FD6CBA" w:rsidRDefault="00B3649F" w:rsidP="00B3649F">
      <w:pPr>
        <w:numPr>
          <w:ilvl w:val="0"/>
          <w:numId w:val="30"/>
        </w:numPr>
        <w:tabs>
          <w:tab w:val="num" w:pos="720"/>
        </w:tabs>
        <w:spacing w:after="0" w:line="240" w:lineRule="auto"/>
        <w:ind w:left="0" w:firstLine="0"/>
        <w:contextualSpacing/>
        <w:mirrorIndents/>
        <w:jc w:val="both"/>
        <w:rPr>
          <w:rFonts w:cstheme="minorHAnsi"/>
          <w:sz w:val="24"/>
          <w:szCs w:val="24"/>
        </w:rPr>
      </w:pPr>
      <w:r w:rsidRPr="009F082A">
        <w:rPr>
          <w:rFonts w:eastAsiaTheme="minorHAnsi" w:cstheme="minorHAnsi"/>
          <w:b/>
          <w:sz w:val="24"/>
          <w:szCs w:val="24"/>
        </w:rPr>
        <w:t xml:space="preserve">There is significant wastage in the education system which undermines value-for-money. </w:t>
      </w:r>
      <w:r w:rsidRPr="009F082A">
        <w:rPr>
          <w:rFonts w:eastAsiaTheme="minorHAnsi" w:cstheme="minorHAnsi"/>
          <w:sz w:val="24"/>
          <w:szCs w:val="24"/>
        </w:rPr>
        <w:t>This is</w:t>
      </w:r>
      <w:r w:rsidRPr="00FD6CBA">
        <w:rPr>
          <w:rFonts w:cstheme="minorHAnsi"/>
          <w:sz w:val="24"/>
          <w:szCs w:val="24"/>
        </w:rPr>
        <w:t xml:space="preserve"> due to high repetition rates in the early grades of primary education</w:t>
      </w:r>
      <w:r w:rsidR="008E10E5">
        <w:rPr>
          <w:rFonts w:cstheme="minorHAnsi"/>
          <w:sz w:val="24"/>
          <w:szCs w:val="24"/>
        </w:rPr>
        <w:t xml:space="preserve"> </w:t>
      </w:r>
      <w:r w:rsidRPr="00FD6CBA">
        <w:rPr>
          <w:rFonts w:cstheme="minorHAnsi"/>
          <w:sz w:val="24"/>
          <w:szCs w:val="24"/>
        </w:rPr>
        <w:t xml:space="preserve">and a low examination pass rates at the end of the primary and lower secondary cycles. Basic analyses on unit costs per student suggest that around half of the </w:t>
      </w:r>
      <w:r w:rsidR="00AD5E9D">
        <w:rPr>
          <w:rFonts w:cstheme="minorHAnsi"/>
          <w:sz w:val="24"/>
          <w:szCs w:val="24"/>
        </w:rPr>
        <w:t>b</w:t>
      </w:r>
      <w:r w:rsidRPr="00FD6CBA">
        <w:rPr>
          <w:rFonts w:cstheme="minorHAnsi"/>
          <w:sz w:val="24"/>
          <w:szCs w:val="24"/>
        </w:rPr>
        <w:t xml:space="preserve">asic education budget is spent on students who are repeating and/or fail to graduate. </w:t>
      </w:r>
    </w:p>
    <w:p w:rsidR="00B3649F" w:rsidRPr="00FD6CBA" w:rsidRDefault="00B3649F" w:rsidP="00B3649F">
      <w:pPr>
        <w:pStyle w:val="ListParagraph"/>
        <w:spacing w:after="0" w:line="240" w:lineRule="auto"/>
        <w:ind w:left="0"/>
        <w:mirrorIndents/>
        <w:jc w:val="both"/>
        <w:rPr>
          <w:rFonts w:cs="Times New Roman"/>
          <w:b/>
          <w:sz w:val="24"/>
          <w:szCs w:val="24"/>
        </w:rPr>
      </w:pPr>
    </w:p>
    <w:p w:rsidR="00B3649F" w:rsidRPr="00FD6CBA" w:rsidRDefault="00B3649F" w:rsidP="00B3649F">
      <w:pPr>
        <w:pStyle w:val="ListParagraph"/>
        <w:numPr>
          <w:ilvl w:val="0"/>
          <w:numId w:val="14"/>
        </w:numPr>
        <w:spacing w:after="0" w:line="240" w:lineRule="auto"/>
        <w:ind w:left="0" w:firstLine="0"/>
        <w:mirrorIndents/>
        <w:jc w:val="both"/>
        <w:rPr>
          <w:rFonts w:cs="Times New Roman"/>
          <w:b/>
          <w:sz w:val="24"/>
          <w:szCs w:val="24"/>
        </w:rPr>
      </w:pPr>
      <w:r w:rsidRPr="00FD6CBA">
        <w:rPr>
          <w:rFonts w:cs="Times New Roman"/>
          <w:b/>
          <w:sz w:val="24"/>
          <w:szCs w:val="24"/>
        </w:rPr>
        <w:t>Health</w:t>
      </w:r>
    </w:p>
    <w:p w:rsidR="00B3649F" w:rsidRDefault="00B3649F" w:rsidP="00B3649F">
      <w:pPr>
        <w:spacing w:after="0" w:line="240" w:lineRule="auto"/>
        <w:contextualSpacing/>
        <w:mirrorIndents/>
        <w:jc w:val="both"/>
        <w:rPr>
          <w:rFonts w:cs="Times New Roman"/>
          <w:sz w:val="24"/>
          <w:szCs w:val="24"/>
        </w:rPr>
      </w:pPr>
    </w:p>
    <w:p w:rsidR="00B3649F" w:rsidRPr="00FD6CBA" w:rsidRDefault="00B3649F" w:rsidP="00B3649F">
      <w:pPr>
        <w:pStyle w:val="ListParagraph"/>
        <w:spacing w:after="0" w:line="240" w:lineRule="auto"/>
        <w:ind w:left="0"/>
        <w:mirrorIndents/>
        <w:jc w:val="both"/>
        <w:rPr>
          <w:rFonts w:cstheme="minorHAnsi"/>
          <w:i/>
          <w:sz w:val="24"/>
          <w:szCs w:val="24"/>
        </w:rPr>
      </w:pPr>
      <w:r w:rsidRPr="00FD6CBA">
        <w:rPr>
          <w:rFonts w:cstheme="minorHAnsi"/>
          <w:i/>
          <w:sz w:val="24"/>
          <w:szCs w:val="24"/>
        </w:rPr>
        <w:t xml:space="preserve">2012/13 </w:t>
      </w:r>
      <w:r>
        <w:rPr>
          <w:rFonts w:cstheme="minorHAnsi"/>
          <w:i/>
          <w:sz w:val="24"/>
          <w:szCs w:val="24"/>
        </w:rPr>
        <w:t>a</w:t>
      </w:r>
      <w:r w:rsidRPr="00FD6CBA">
        <w:rPr>
          <w:rFonts w:cstheme="minorHAnsi"/>
          <w:i/>
          <w:sz w:val="24"/>
          <w:szCs w:val="24"/>
        </w:rPr>
        <w:t xml:space="preserve">ctual </w:t>
      </w:r>
      <w:r>
        <w:rPr>
          <w:rFonts w:cstheme="minorHAnsi"/>
          <w:i/>
          <w:sz w:val="24"/>
          <w:szCs w:val="24"/>
        </w:rPr>
        <w:t>e</w:t>
      </w:r>
      <w:r w:rsidRPr="00FD6CBA">
        <w:rPr>
          <w:rFonts w:cstheme="minorHAnsi"/>
          <w:i/>
          <w:sz w:val="24"/>
          <w:szCs w:val="24"/>
        </w:rPr>
        <w:t>xpenditure</w:t>
      </w:r>
    </w:p>
    <w:p w:rsidR="00B3649F" w:rsidRPr="00FD6CBA" w:rsidRDefault="00B3649F" w:rsidP="00B3649F">
      <w:pPr>
        <w:spacing w:after="0" w:line="240" w:lineRule="auto"/>
        <w:contextualSpacing/>
        <w:mirrorIndents/>
        <w:jc w:val="both"/>
        <w:rPr>
          <w:rFonts w:cs="Times New Roman"/>
          <w:sz w:val="24"/>
          <w:szCs w:val="24"/>
        </w:rPr>
      </w:pPr>
    </w:p>
    <w:p w:rsidR="00B3649F" w:rsidRPr="00FD6CBA" w:rsidRDefault="00E46680" w:rsidP="00B3649F">
      <w:pPr>
        <w:numPr>
          <w:ilvl w:val="0"/>
          <w:numId w:val="30"/>
        </w:numPr>
        <w:tabs>
          <w:tab w:val="num" w:pos="720"/>
        </w:tabs>
        <w:spacing w:after="0" w:line="240" w:lineRule="auto"/>
        <w:ind w:left="0" w:firstLine="0"/>
        <w:contextualSpacing/>
        <w:mirrorIndents/>
        <w:jc w:val="both"/>
        <w:rPr>
          <w:rFonts w:cs="Times New Roman"/>
          <w:sz w:val="24"/>
          <w:szCs w:val="24"/>
        </w:rPr>
      </w:pPr>
      <w:r>
        <w:rPr>
          <w:rFonts w:cs="Times New Roman"/>
          <w:b/>
          <w:sz w:val="24"/>
          <w:szCs w:val="24"/>
        </w:rPr>
        <w:t>The budget execution in the health sector has improved</w:t>
      </w:r>
      <w:r w:rsidR="00B3649F">
        <w:rPr>
          <w:rFonts w:cs="Times New Roman"/>
          <w:sz w:val="24"/>
          <w:szCs w:val="24"/>
        </w:rPr>
        <w:t xml:space="preserve">. </w:t>
      </w:r>
      <w:r w:rsidR="00B3649F" w:rsidRPr="00FD6CBA">
        <w:rPr>
          <w:rFonts w:cs="Times New Roman"/>
          <w:sz w:val="24"/>
          <w:szCs w:val="24"/>
        </w:rPr>
        <w:t xml:space="preserve">The health sector budget execution for </w:t>
      </w:r>
      <w:r w:rsidR="00B3649F">
        <w:rPr>
          <w:rFonts w:cs="Times New Roman"/>
          <w:sz w:val="24"/>
          <w:szCs w:val="24"/>
        </w:rPr>
        <w:t>201</w:t>
      </w:r>
      <w:r w:rsidR="00B3649F" w:rsidRPr="00FD6CBA">
        <w:rPr>
          <w:rFonts w:cs="Times New Roman"/>
          <w:sz w:val="24"/>
          <w:szCs w:val="24"/>
        </w:rPr>
        <w:t xml:space="preserve">2/13 was a strong 89.4 percent of the budgeted amount. Unlike </w:t>
      </w:r>
      <w:r w:rsidR="00B3649F">
        <w:rPr>
          <w:rFonts w:cs="Times New Roman"/>
          <w:sz w:val="24"/>
          <w:szCs w:val="24"/>
        </w:rPr>
        <w:t>20</w:t>
      </w:r>
      <w:r w:rsidR="00B3649F" w:rsidRPr="00FD6CBA">
        <w:rPr>
          <w:rFonts w:cs="Times New Roman"/>
          <w:sz w:val="24"/>
          <w:szCs w:val="24"/>
        </w:rPr>
        <w:t xml:space="preserve">11/12, execution of the </w:t>
      </w:r>
      <w:r w:rsidR="00B3649F">
        <w:rPr>
          <w:rFonts w:cs="Times New Roman"/>
          <w:sz w:val="24"/>
          <w:szCs w:val="24"/>
        </w:rPr>
        <w:t>20</w:t>
      </w:r>
      <w:r w:rsidR="00B3649F" w:rsidRPr="00FD6CBA">
        <w:rPr>
          <w:rFonts w:cs="Times New Roman"/>
          <w:sz w:val="24"/>
          <w:szCs w:val="24"/>
        </w:rPr>
        <w:t xml:space="preserve">12/13 budget was consistently strong across both foreign (88.3 percent) and local (89.9 percent) health spending. This is a welcome improvement from </w:t>
      </w:r>
      <w:r w:rsidR="00B3649F">
        <w:rPr>
          <w:rFonts w:cs="Times New Roman"/>
          <w:sz w:val="24"/>
          <w:szCs w:val="24"/>
        </w:rPr>
        <w:t>20</w:t>
      </w:r>
      <w:r w:rsidR="00B3649F" w:rsidRPr="00FD6CBA">
        <w:rPr>
          <w:rFonts w:cs="Times New Roman"/>
          <w:sz w:val="24"/>
          <w:szCs w:val="24"/>
        </w:rPr>
        <w:t xml:space="preserve">11/12 where more than 90 percent of </w:t>
      </w:r>
      <w:proofErr w:type="spellStart"/>
      <w:r w:rsidR="00B3649F" w:rsidRPr="00FD6CBA">
        <w:rPr>
          <w:rFonts w:cs="Times New Roman"/>
          <w:sz w:val="24"/>
          <w:szCs w:val="24"/>
        </w:rPr>
        <w:t>GoT</w:t>
      </w:r>
      <w:proofErr w:type="spellEnd"/>
      <w:r w:rsidR="00B3649F" w:rsidRPr="00FD6CBA">
        <w:rPr>
          <w:rFonts w:cs="Times New Roman"/>
          <w:sz w:val="24"/>
          <w:szCs w:val="24"/>
        </w:rPr>
        <w:t xml:space="preserve"> discretionary budget was executed but less than 40 percent of the foreign budget was executed. </w:t>
      </w:r>
      <w:r w:rsidR="0047280B" w:rsidRPr="00FD6CBA">
        <w:rPr>
          <w:rFonts w:cs="Times New Roman"/>
          <w:sz w:val="24"/>
          <w:szCs w:val="24"/>
        </w:rPr>
        <w:t xml:space="preserve">This was </w:t>
      </w:r>
      <w:r w:rsidR="0047280B">
        <w:rPr>
          <w:rFonts w:cs="Times New Roman"/>
          <w:sz w:val="24"/>
          <w:szCs w:val="24"/>
        </w:rPr>
        <w:t xml:space="preserve">potentially </w:t>
      </w:r>
      <w:r w:rsidR="0047280B" w:rsidRPr="00FD6CBA">
        <w:rPr>
          <w:rFonts w:cs="Times New Roman"/>
          <w:sz w:val="24"/>
          <w:szCs w:val="24"/>
        </w:rPr>
        <w:t>linked to low execution of GFATM resour</w:t>
      </w:r>
      <w:r w:rsidR="0047280B">
        <w:rPr>
          <w:rFonts w:cs="Times New Roman"/>
          <w:sz w:val="24"/>
          <w:szCs w:val="24"/>
        </w:rPr>
        <w:t>ces.</w:t>
      </w:r>
    </w:p>
    <w:p w:rsidR="00B3649F" w:rsidRDefault="00B3649F" w:rsidP="00B3649F">
      <w:pPr>
        <w:spacing w:after="0" w:line="240" w:lineRule="auto"/>
        <w:mirrorIndents/>
        <w:jc w:val="both"/>
        <w:rPr>
          <w:rFonts w:cs="Times New Roman"/>
          <w:sz w:val="24"/>
          <w:szCs w:val="24"/>
        </w:rPr>
      </w:pPr>
    </w:p>
    <w:p w:rsidR="00B3649F" w:rsidRDefault="00B3649F" w:rsidP="00B3649F">
      <w:pPr>
        <w:spacing w:after="0" w:line="240" w:lineRule="auto"/>
        <w:mirrorIndents/>
        <w:jc w:val="both"/>
        <w:rPr>
          <w:rFonts w:cstheme="minorHAnsi"/>
          <w:i/>
          <w:sz w:val="24"/>
          <w:szCs w:val="24"/>
        </w:rPr>
      </w:pPr>
      <w:r w:rsidRPr="00FD6CBA">
        <w:rPr>
          <w:rFonts w:cstheme="minorHAnsi"/>
          <w:i/>
          <w:sz w:val="24"/>
          <w:szCs w:val="24"/>
        </w:rPr>
        <w:t xml:space="preserve">2013/14 </w:t>
      </w:r>
      <w:r>
        <w:rPr>
          <w:rFonts w:cstheme="minorHAnsi"/>
          <w:i/>
          <w:sz w:val="24"/>
          <w:szCs w:val="24"/>
        </w:rPr>
        <w:t>approved b</w:t>
      </w:r>
      <w:r w:rsidRPr="00FD6CBA">
        <w:rPr>
          <w:rFonts w:cstheme="minorHAnsi"/>
          <w:i/>
          <w:sz w:val="24"/>
          <w:szCs w:val="24"/>
        </w:rPr>
        <w:t>udget</w:t>
      </w:r>
    </w:p>
    <w:p w:rsidR="00B3649F" w:rsidRPr="00FD6CBA" w:rsidRDefault="00B3649F" w:rsidP="00B3649F">
      <w:pPr>
        <w:spacing w:after="0" w:line="240" w:lineRule="auto"/>
        <w:mirrorIndents/>
        <w:jc w:val="both"/>
        <w:rPr>
          <w:rFonts w:cs="Times New Roman"/>
          <w:sz w:val="24"/>
          <w:szCs w:val="24"/>
        </w:rPr>
      </w:pPr>
    </w:p>
    <w:p w:rsidR="00B3649F" w:rsidRDefault="00A63418" w:rsidP="00A63418">
      <w:pPr>
        <w:numPr>
          <w:ilvl w:val="0"/>
          <w:numId w:val="30"/>
        </w:numPr>
        <w:tabs>
          <w:tab w:val="num" w:pos="720"/>
        </w:tabs>
        <w:spacing w:after="0" w:line="240" w:lineRule="auto"/>
        <w:ind w:left="0" w:firstLine="0"/>
        <w:contextualSpacing/>
        <w:mirrorIndents/>
        <w:jc w:val="both"/>
        <w:rPr>
          <w:rFonts w:cs="Times New Roman"/>
          <w:sz w:val="24"/>
          <w:szCs w:val="24"/>
        </w:rPr>
      </w:pPr>
      <w:r>
        <w:rPr>
          <w:rFonts w:cs="Times New Roman"/>
          <w:b/>
          <w:sz w:val="24"/>
          <w:szCs w:val="24"/>
        </w:rPr>
        <w:lastRenderedPageBreak/>
        <w:t>The share of</w:t>
      </w:r>
      <w:r w:rsidR="00E46680">
        <w:rPr>
          <w:rFonts w:cs="Times New Roman"/>
          <w:b/>
          <w:sz w:val="24"/>
          <w:szCs w:val="24"/>
        </w:rPr>
        <w:t xml:space="preserve"> the</w:t>
      </w:r>
      <w:r>
        <w:rPr>
          <w:rFonts w:cs="Times New Roman"/>
          <w:b/>
          <w:sz w:val="24"/>
          <w:szCs w:val="24"/>
        </w:rPr>
        <w:t xml:space="preserve"> h</w:t>
      </w:r>
      <w:r w:rsidRPr="001261D2">
        <w:rPr>
          <w:rFonts w:cs="Times New Roman"/>
          <w:b/>
          <w:sz w:val="24"/>
          <w:szCs w:val="24"/>
        </w:rPr>
        <w:t>ealth sector</w:t>
      </w:r>
      <w:r>
        <w:rPr>
          <w:rFonts w:cs="Times New Roman"/>
          <w:b/>
          <w:sz w:val="24"/>
          <w:szCs w:val="24"/>
        </w:rPr>
        <w:t xml:space="preserve"> budget</w:t>
      </w:r>
      <w:r w:rsidRPr="001261D2">
        <w:rPr>
          <w:rFonts w:cs="Times New Roman"/>
          <w:b/>
          <w:sz w:val="24"/>
          <w:szCs w:val="24"/>
        </w:rPr>
        <w:t xml:space="preserve"> </w:t>
      </w:r>
      <w:r>
        <w:rPr>
          <w:rFonts w:cs="Times New Roman"/>
          <w:b/>
          <w:sz w:val="24"/>
          <w:szCs w:val="24"/>
        </w:rPr>
        <w:t xml:space="preserve">in the total </w:t>
      </w:r>
      <w:r w:rsidR="006F3DFC">
        <w:rPr>
          <w:rFonts w:cs="Times New Roman"/>
          <w:b/>
          <w:sz w:val="24"/>
          <w:szCs w:val="24"/>
        </w:rPr>
        <w:t xml:space="preserve">approved </w:t>
      </w:r>
      <w:r>
        <w:rPr>
          <w:rFonts w:cs="Times New Roman"/>
          <w:b/>
          <w:sz w:val="24"/>
          <w:szCs w:val="24"/>
        </w:rPr>
        <w:t>budget continues to decline, at 8.7 percent in 2013/14 down from 9.6</w:t>
      </w:r>
      <w:r w:rsidR="006F3DFC">
        <w:rPr>
          <w:rFonts w:cs="Times New Roman"/>
          <w:b/>
          <w:sz w:val="24"/>
          <w:szCs w:val="24"/>
        </w:rPr>
        <w:t xml:space="preserve"> percent in</w:t>
      </w:r>
      <w:r>
        <w:rPr>
          <w:rFonts w:cs="Times New Roman"/>
          <w:b/>
          <w:sz w:val="24"/>
          <w:szCs w:val="24"/>
        </w:rPr>
        <w:t xml:space="preserve"> 2012/13.</w:t>
      </w:r>
      <w:r w:rsidRPr="001261D2">
        <w:rPr>
          <w:rFonts w:cs="Times New Roman"/>
          <w:b/>
          <w:sz w:val="24"/>
          <w:szCs w:val="24"/>
        </w:rPr>
        <w:t xml:space="preserve"> </w:t>
      </w:r>
      <w:r w:rsidRPr="0068100D">
        <w:rPr>
          <w:rFonts w:cs="Times New Roman"/>
          <w:sz w:val="24"/>
          <w:szCs w:val="24"/>
        </w:rPr>
        <w:t xml:space="preserve">Despite the decline in share </w:t>
      </w:r>
      <w:r>
        <w:rPr>
          <w:rFonts w:cs="Times New Roman"/>
          <w:sz w:val="24"/>
          <w:szCs w:val="24"/>
        </w:rPr>
        <w:t>the</w:t>
      </w:r>
      <w:r w:rsidRPr="00FD6CBA">
        <w:rPr>
          <w:rFonts w:cs="Times New Roman"/>
          <w:sz w:val="24"/>
          <w:szCs w:val="24"/>
        </w:rPr>
        <w:t xml:space="preserve"> health sector budget has increased in nominal, real and per capita terms between 2012/13 and 2013/14</w:t>
      </w:r>
      <w:r>
        <w:rPr>
          <w:rFonts w:cs="Times New Roman"/>
          <w:sz w:val="24"/>
          <w:szCs w:val="24"/>
        </w:rPr>
        <w:t>.</w:t>
      </w:r>
      <w:r w:rsidRPr="00FD6CBA">
        <w:rPr>
          <w:rFonts w:cs="Times New Roman"/>
          <w:sz w:val="24"/>
          <w:szCs w:val="24"/>
        </w:rPr>
        <w:t xml:space="preserve">  </w:t>
      </w:r>
      <w:r>
        <w:rPr>
          <w:rFonts w:cs="Times New Roman"/>
          <w:sz w:val="24"/>
          <w:szCs w:val="24"/>
        </w:rPr>
        <w:t xml:space="preserve">However, </w:t>
      </w:r>
      <w:r w:rsidR="00E46680">
        <w:rPr>
          <w:rFonts w:cs="Times New Roman"/>
          <w:sz w:val="24"/>
          <w:szCs w:val="24"/>
        </w:rPr>
        <w:t>the share</w:t>
      </w:r>
      <w:r>
        <w:rPr>
          <w:rFonts w:cs="Times New Roman"/>
          <w:sz w:val="24"/>
          <w:szCs w:val="24"/>
        </w:rPr>
        <w:t xml:space="preserve"> is </w:t>
      </w:r>
      <w:r w:rsidRPr="00FD6CBA">
        <w:rPr>
          <w:rFonts w:cs="Times New Roman"/>
          <w:sz w:val="24"/>
          <w:szCs w:val="24"/>
        </w:rPr>
        <w:t xml:space="preserve">significantly below the Abuja target </w:t>
      </w:r>
      <w:r>
        <w:rPr>
          <w:rFonts w:cs="Times New Roman"/>
          <w:sz w:val="24"/>
          <w:szCs w:val="24"/>
        </w:rPr>
        <w:t>o</w:t>
      </w:r>
      <w:r w:rsidRPr="00FD6CBA">
        <w:rPr>
          <w:rFonts w:cs="Times New Roman"/>
          <w:sz w:val="24"/>
          <w:szCs w:val="24"/>
        </w:rPr>
        <w:t>f 15 percent</w:t>
      </w:r>
      <w:r w:rsidR="009F10D1">
        <w:rPr>
          <w:rFonts w:cs="Times New Roman"/>
          <w:sz w:val="24"/>
          <w:szCs w:val="24"/>
        </w:rPr>
        <w:t xml:space="preserve"> of total public expenditures.</w:t>
      </w:r>
    </w:p>
    <w:p w:rsidR="001E50CB" w:rsidRPr="00FD6CBA" w:rsidRDefault="001E50CB" w:rsidP="001E50CB">
      <w:pPr>
        <w:spacing w:after="0" w:line="240" w:lineRule="auto"/>
        <w:contextualSpacing/>
        <w:mirrorIndents/>
        <w:jc w:val="both"/>
        <w:rPr>
          <w:rFonts w:cs="Times New Roman"/>
          <w:sz w:val="24"/>
          <w:szCs w:val="24"/>
        </w:rPr>
      </w:pPr>
    </w:p>
    <w:p w:rsidR="00C53666" w:rsidRPr="00FD6CBA" w:rsidRDefault="00C53666" w:rsidP="00C53666">
      <w:pPr>
        <w:numPr>
          <w:ilvl w:val="0"/>
          <w:numId w:val="30"/>
        </w:numPr>
        <w:tabs>
          <w:tab w:val="num" w:pos="720"/>
        </w:tabs>
        <w:spacing w:after="0" w:line="240" w:lineRule="auto"/>
        <w:ind w:left="0" w:firstLine="0"/>
        <w:contextualSpacing/>
        <w:mirrorIndents/>
        <w:jc w:val="both"/>
        <w:rPr>
          <w:rFonts w:cs="Times New Roman"/>
          <w:sz w:val="24"/>
          <w:szCs w:val="24"/>
        </w:rPr>
      </w:pPr>
      <w:r w:rsidRPr="003A0B57">
        <w:rPr>
          <w:rFonts w:cs="Times New Roman"/>
          <w:b/>
          <w:sz w:val="24"/>
          <w:szCs w:val="24"/>
        </w:rPr>
        <w:t xml:space="preserve">Non-basket foreign funding </w:t>
      </w:r>
      <w:r w:rsidR="009F10D1">
        <w:rPr>
          <w:rFonts w:cs="Times New Roman"/>
          <w:b/>
          <w:sz w:val="24"/>
          <w:szCs w:val="24"/>
        </w:rPr>
        <w:t xml:space="preserve">is expected to </w:t>
      </w:r>
      <w:r w:rsidRPr="003A0B57">
        <w:rPr>
          <w:rFonts w:cs="Times New Roman"/>
          <w:b/>
          <w:sz w:val="24"/>
          <w:szCs w:val="24"/>
        </w:rPr>
        <w:t>revers</w:t>
      </w:r>
      <w:r w:rsidR="007635E1">
        <w:rPr>
          <w:rFonts w:cs="Times New Roman"/>
          <w:b/>
          <w:sz w:val="24"/>
          <w:szCs w:val="24"/>
        </w:rPr>
        <w:t xml:space="preserve">e </w:t>
      </w:r>
      <w:r w:rsidRPr="003A0B57">
        <w:rPr>
          <w:rFonts w:cs="Times New Roman"/>
          <w:b/>
          <w:sz w:val="24"/>
          <w:szCs w:val="24"/>
        </w:rPr>
        <w:t>the decline in previous</w:t>
      </w:r>
      <w:r w:rsidR="007635E1">
        <w:rPr>
          <w:rFonts w:cs="Times New Roman"/>
          <w:b/>
          <w:sz w:val="24"/>
          <w:szCs w:val="24"/>
        </w:rPr>
        <w:t xml:space="preserve"> years</w:t>
      </w:r>
      <w:r>
        <w:rPr>
          <w:rFonts w:cs="Times New Roman"/>
          <w:sz w:val="24"/>
          <w:szCs w:val="24"/>
        </w:rPr>
        <w:t>.</w:t>
      </w:r>
      <w:r w:rsidRPr="00FD6CBA">
        <w:rPr>
          <w:rFonts w:cs="Times New Roman"/>
          <w:sz w:val="24"/>
          <w:szCs w:val="24"/>
        </w:rPr>
        <w:t xml:space="preserve"> The increase in non-basket foreign funding is particularly prominent in the area of medicines</w:t>
      </w:r>
      <w:r>
        <w:rPr>
          <w:rFonts w:cs="Times New Roman"/>
          <w:sz w:val="24"/>
          <w:szCs w:val="24"/>
        </w:rPr>
        <w:t xml:space="preserve">. </w:t>
      </w:r>
      <w:r w:rsidRPr="00FD6CBA">
        <w:rPr>
          <w:rFonts w:cs="Times New Roman"/>
          <w:sz w:val="24"/>
          <w:szCs w:val="24"/>
        </w:rPr>
        <w:t xml:space="preserve"> However, the increase in non-basket foreign funding to the health sector masks the absolute and real term declines in the health basket funds and local resources to the health sector.  In </w:t>
      </w:r>
      <w:r>
        <w:rPr>
          <w:rFonts w:cs="Times New Roman"/>
          <w:sz w:val="24"/>
          <w:szCs w:val="24"/>
        </w:rPr>
        <w:t>20</w:t>
      </w:r>
      <w:r w:rsidRPr="00FD6CBA">
        <w:rPr>
          <w:rFonts w:cs="Times New Roman"/>
          <w:sz w:val="24"/>
          <w:szCs w:val="24"/>
        </w:rPr>
        <w:t xml:space="preserve">12/13 the health sector received 8 percent of local resources; </w:t>
      </w:r>
      <w:r w:rsidR="007635E1">
        <w:rPr>
          <w:rFonts w:cs="Times New Roman"/>
          <w:sz w:val="24"/>
          <w:szCs w:val="24"/>
        </w:rPr>
        <w:t xml:space="preserve">but this is projected to </w:t>
      </w:r>
      <w:r w:rsidRPr="00FD6CBA">
        <w:rPr>
          <w:rFonts w:cs="Times New Roman"/>
          <w:sz w:val="24"/>
          <w:szCs w:val="24"/>
        </w:rPr>
        <w:t xml:space="preserve">decline to 6 percent in </w:t>
      </w:r>
      <w:r>
        <w:rPr>
          <w:rFonts w:cs="Times New Roman"/>
          <w:sz w:val="24"/>
          <w:szCs w:val="24"/>
        </w:rPr>
        <w:t>20</w:t>
      </w:r>
      <w:r w:rsidRPr="00FD6CBA">
        <w:rPr>
          <w:rFonts w:cs="Times New Roman"/>
          <w:sz w:val="24"/>
          <w:szCs w:val="24"/>
        </w:rPr>
        <w:t>13/14. Declining shares of G</w:t>
      </w:r>
      <w:r>
        <w:rPr>
          <w:rFonts w:cs="Times New Roman"/>
          <w:sz w:val="24"/>
          <w:szCs w:val="24"/>
        </w:rPr>
        <w:t xml:space="preserve">overnment </w:t>
      </w:r>
      <w:r w:rsidRPr="00FD6CBA">
        <w:rPr>
          <w:rFonts w:cs="Times New Roman"/>
          <w:sz w:val="24"/>
          <w:szCs w:val="24"/>
        </w:rPr>
        <w:t xml:space="preserve">own discretionary resources to the health sector suggest a </w:t>
      </w:r>
      <w:r w:rsidR="007635E1">
        <w:rPr>
          <w:rFonts w:cs="Times New Roman"/>
          <w:sz w:val="24"/>
          <w:szCs w:val="24"/>
        </w:rPr>
        <w:t>lower</w:t>
      </w:r>
      <w:r w:rsidRPr="00FD6CBA">
        <w:rPr>
          <w:rFonts w:cs="Times New Roman"/>
          <w:sz w:val="24"/>
          <w:szCs w:val="24"/>
        </w:rPr>
        <w:t xml:space="preserve"> priority </w:t>
      </w:r>
      <w:r w:rsidR="007635E1">
        <w:rPr>
          <w:rFonts w:cs="Times New Roman"/>
          <w:sz w:val="24"/>
          <w:szCs w:val="24"/>
        </w:rPr>
        <w:t xml:space="preserve">given to this </w:t>
      </w:r>
      <w:r w:rsidRPr="00FD6CBA">
        <w:rPr>
          <w:rFonts w:cs="Times New Roman"/>
          <w:sz w:val="24"/>
          <w:szCs w:val="24"/>
        </w:rPr>
        <w:t xml:space="preserve">sector, as indicated by its exclusion in the </w:t>
      </w:r>
      <w:r w:rsidR="007635E1">
        <w:rPr>
          <w:rFonts w:cs="Times New Roman"/>
          <w:sz w:val="24"/>
          <w:szCs w:val="24"/>
        </w:rPr>
        <w:t>first</w:t>
      </w:r>
      <w:r w:rsidRPr="00FD6CBA">
        <w:rPr>
          <w:rFonts w:cs="Times New Roman"/>
          <w:sz w:val="24"/>
          <w:szCs w:val="24"/>
        </w:rPr>
        <w:t xml:space="preserve"> round of BRN ‘labs’. Financial sustainability therefore remains a concern, particularly because </w:t>
      </w:r>
      <w:r>
        <w:rPr>
          <w:rFonts w:cs="Times New Roman"/>
          <w:sz w:val="24"/>
          <w:szCs w:val="24"/>
        </w:rPr>
        <w:t xml:space="preserve">non-pooled </w:t>
      </w:r>
      <w:r w:rsidRPr="00FD6CBA">
        <w:rPr>
          <w:rFonts w:cs="Times New Roman"/>
          <w:sz w:val="24"/>
          <w:szCs w:val="24"/>
        </w:rPr>
        <w:t>donor funding (which is not necessarily predictable</w:t>
      </w:r>
      <w:r>
        <w:rPr>
          <w:rFonts w:cs="Times New Roman"/>
          <w:sz w:val="24"/>
          <w:szCs w:val="24"/>
        </w:rPr>
        <w:t xml:space="preserve"> or system strengthening focused</w:t>
      </w:r>
      <w:r w:rsidRPr="00FD6CBA">
        <w:rPr>
          <w:rFonts w:cs="Times New Roman"/>
          <w:sz w:val="24"/>
          <w:szCs w:val="24"/>
        </w:rPr>
        <w:t>) appears to be replacing local</w:t>
      </w:r>
      <w:r>
        <w:rPr>
          <w:rFonts w:cs="Times New Roman"/>
          <w:sz w:val="24"/>
          <w:szCs w:val="24"/>
        </w:rPr>
        <w:t xml:space="preserve"> and pooled donor funding to </w:t>
      </w:r>
      <w:r w:rsidRPr="00FD6CBA">
        <w:rPr>
          <w:rFonts w:cs="Times New Roman"/>
          <w:sz w:val="24"/>
          <w:szCs w:val="24"/>
        </w:rPr>
        <w:t>invest</w:t>
      </w:r>
      <w:r>
        <w:rPr>
          <w:rFonts w:cs="Times New Roman"/>
          <w:sz w:val="24"/>
          <w:szCs w:val="24"/>
        </w:rPr>
        <w:t xml:space="preserve"> </w:t>
      </w:r>
      <w:r w:rsidRPr="00FD6CBA">
        <w:rPr>
          <w:rFonts w:cs="Times New Roman"/>
          <w:sz w:val="24"/>
          <w:szCs w:val="24"/>
        </w:rPr>
        <w:t xml:space="preserve">in </w:t>
      </w:r>
      <w:r>
        <w:rPr>
          <w:rFonts w:cs="Times New Roman"/>
          <w:sz w:val="24"/>
          <w:szCs w:val="24"/>
        </w:rPr>
        <w:t xml:space="preserve">the </w:t>
      </w:r>
      <w:r w:rsidRPr="00FD6CBA">
        <w:rPr>
          <w:rFonts w:cs="Times New Roman"/>
          <w:sz w:val="24"/>
          <w:szCs w:val="24"/>
        </w:rPr>
        <w:t>health</w:t>
      </w:r>
      <w:r>
        <w:rPr>
          <w:rFonts w:cs="Times New Roman"/>
          <w:sz w:val="24"/>
          <w:szCs w:val="24"/>
        </w:rPr>
        <w:t xml:space="preserve"> system</w:t>
      </w:r>
      <w:r w:rsidRPr="00FD6CBA">
        <w:rPr>
          <w:rFonts w:cs="Times New Roman"/>
          <w:sz w:val="24"/>
          <w:szCs w:val="24"/>
        </w:rPr>
        <w:t xml:space="preserve">. </w:t>
      </w:r>
    </w:p>
    <w:p w:rsidR="00C53666" w:rsidRPr="00FD6CBA" w:rsidRDefault="00C53666" w:rsidP="00C53666">
      <w:pPr>
        <w:pStyle w:val="ListParagraph"/>
        <w:spacing w:after="0" w:line="240" w:lineRule="auto"/>
        <w:ind w:left="0"/>
        <w:mirrorIndents/>
        <w:jc w:val="both"/>
        <w:rPr>
          <w:rFonts w:cs="Times New Roman"/>
          <w:sz w:val="24"/>
          <w:szCs w:val="24"/>
        </w:rPr>
      </w:pPr>
    </w:p>
    <w:p w:rsidR="00C53666" w:rsidRPr="00FD6CBA" w:rsidRDefault="00C53666" w:rsidP="00C53666">
      <w:pPr>
        <w:numPr>
          <w:ilvl w:val="0"/>
          <w:numId w:val="30"/>
        </w:numPr>
        <w:tabs>
          <w:tab w:val="num" w:pos="720"/>
        </w:tabs>
        <w:spacing w:after="0" w:line="240" w:lineRule="auto"/>
        <w:ind w:left="0" w:firstLine="0"/>
        <w:contextualSpacing/>
        <w:mirrorIndents/>
        <w:jc w:val="both"/>
        <w:rPr>
          <w:rFonts w:cs="Times New Roman"/>
          <w:sz w:val="24"/>
          <w:szCs w:val="24"/>
        </w:rPr>
      </w:pPr>
      <w:r w:rsidRPr="008C1DC9">
        <w:rPr>
          <w:rFonts w:cs="Times New Roman"/>
          <w:b/>
          <w:sz w:val="24"/>
          <w:szCs w:val="24"/>
        </w:rPr>
        <w:t xml:space="preserve">The decline in </w:t>
      </w:r>
      <w:r w:rsidR="00E46680" w:rsidRPr="008C1DC9">
        <w:rPr>
          <w:rFonts w:cs="Times New Roman"/>
          <w:b/>
          <w:sz w:val="24"/>
          <w:szCs w:val="24"/>
        </w:rPr>
        <w:t xml:space="preserve">the </w:t>
      </w:r>
      <w:r w:rsidRPr="008C1DC9">
        <w:rPr>
          <w:rFonts w:cs="Times New Roman"/>
          <w:b/>
          <w:sz w:val="24"/>
          <w:szCs w:val="24"/>
        </w:rPr>
        <w:t xml:space="preserve">foreign health basket and </w:t>
      </w:r>
      <w:proofErr w:type="spellStart"/>
      <w:r w:rsidRPr="008C1DC9">
        <w:rPr>
          <w:rFonts w:cs="Times New Roman"/>
          <w:b/>
          <w:sz w:val="24"/>
          <w:szCs w:val="24"/>
        </w:rPr>
        <w:t>GoT</w:t>
      </w:r>
      <w:proofErr w:type="spellEnd"/>
      <w:r w:rsidRPr="008C1DC9">
        <w:rPr>
          <w:rFonts w:cs="Times New Roman"/>
          <w:b/>
          <w:sz w:val="24"/>
          <w:szCs w:val="24"/>
        </w:rPr>
        <w:t xml:space="preserve"> local (including GBS)</w:t>
      </w:r>
      <w:r>
        <w:rPr>
          <w:rFonts w:cs="Times New Roman"/>
          <w:sz w:val="24"/>
          <w:szCs w:val="24"/>
        </w:rPr>
        <w:t xml:space="preserve"> </w:t>
      </w:r>
      <w:r w:rsidRPr="00FD6CBA">
        <w:rPr>
          <w:rFonts w:cs="Times New Roman"/>
          <w:sz w:val="24"/>
          <w:szCs w:val="24"/>
        </w:rPr>
        <w:t>resources</w:t>
      </w:r>
      <w:r>
        <w:rPr>
          <w:rFonts w:cs="Times New Roman"/>
          <w:sz w:val="24"/>
          <w:szCs w:val="24"/>
        </w:rPr>
        <w:t xml:space="preserve"> to the health sector </w:t>
      </w:r>
      <w:r w:rsidRPr="00FD6CBA">
        <w:rPr>
          <w:rFonts w:cs="Times New Roman"/>
          <w:sz w:val="24"/>
          <w:szCs w:val="24"/>
        </w:rPr>
        <w:t xml:space="preserve">could potentially have a negative impact on budget execution in </w:t>
      </w:r>
      <w:r>
        <w:rPr>
          <w:rFonts w:cs="Times New Roman"/>
          <w:sz w:val="24"/>
          <w:szCs w:val="24"/>
        </w:rPr>
        <w:t>20</w:t>
      </w:r>
      <w:r w:rsidRPr="00FD6CBA">
        <w:rPr>
          <w:rFonts w:cs="Times New Roman"/>
          <w:sz w:val="24"/>
          <w:szCs w:val="24"/>
        </w:rPr>
        <w:t xml:space="preserve">13/14. This must be carefully monitored.  </w:t>
      </w:r>
    </w:p>
    <w:p w:rsidR="00C53666" w:rsidRPr="00FD6CBA" w:rsidRDefault="00C53666" w:rsidP="00C53666">
      <w:pPr>
        <w:pStyle w:val="ListParagraph"/>
        <w:spacing w:after="0" w:line="240" w:lineRule="auto"/>
        <w:ind w:left="0"/>
        <w:mirrorIndents/>
        <w:jc w:val="both"/>
        <w:rPr>
          <w:rFonts w:cs="Times New Roman"/>
          <w:sz w:val="24"/>
          <w:szCs w:val="24"/>
        </w:rPr>
      </w:pPr>
    </w:p>
    <w:p w:rsidR="00C53666" w:rsidRPr="00FD6CBA" w:rsidRDefault="00C53666" w:rsidP="00C53666">
      <w:pPr>
        <w:numPr>
          <w:ilvl w:val="0"/>
          <w:numId w:val="30"/>
        </w:numPr>
        <w:tabs>
          <w:tab w:val="num" w:pos="720"/>
        </w:tabs>
        <w:spacing w:after="0" w:line="240" w:lineRule="auto"/>
        <w:ind w:left="0" w:firstLine="0"/>
        <w:contextualSpacing/>
        <w:mirrorIndents/>
        <w:jc w:val="both"/>
        <w:rPr>
          <w:rFonts w:cs="Times New Roman"/>
          <w:sz w:val="24"/>
          <w:szCs w:val="24"/>
        </w:rPr>
      </w:pPr>
      <w:r w:rsidRPr="008C1DC9">
        <w:rPr>
          <w:rFonts w:cs="Times New Roman"/>
          <w:b/>
          <w:sz w:val="24"/>
          <w:szCs w:val="24"/>
        </w:rPr>
        <w:t>Geographic inequality in the health block grant (OC&amp;PE) distribution amongst LGAs</w:t>
      </w:r>
      <w:r w:rsidRPr="00FD6CBA">
        <w:rPr>
          <w:rFonts w:cs="Times New Roman"/>
          <w:sz w:val="24"/>
          <w:szCs w:val="24"/>
        </w:rPr>
        <w:t xml:space="preserve"> remains substantial</w:t>
      </w:r>
      <w:r w:rsidR="00E46680">
        <w:rPr>
          <w:rFonts w:cs="Times New Roman"/>
          <w:sz w:val="24"/>
          <w:szCs w:val="24"/>
        </w:rPr>
        <w:t>. This</w:t>
      </w:r>
      <w:r w:rsidRPr="00FD6CBA">
        <w:rPr>
          <w:rFonts w:cs="Times New Roman"/>
          <w:sz w:val="24"/>
          <w:szCs w:val="24"/>
        </w:rPr>
        <w:t xml:space="preserve"> </w:t>
      </w:r>
      <w:r>
        <w:rPr>
          <w:rFonts w:cs="Times New Roman"/>
          <w:sz w:val="24"/>
          <w:szCs w:val="24"/>
        </w:rPr>
        <w:t>caus</w:t>
      </w:r>
      <w:r w:rsidR="00E46680">
        <w:rPr>
          <w:rFonts w:cs="Times New Roman"/>
          <w:sz w:val="24"/>
          <w:szCs w:val="24"/>
        </w:rPr>
        <w:t>es</w:t>
      </w:r>
      <w:r>
        <w:rPr>
          <w:rFonts w:cs="Times New Roman"/>
          <w:sz w:val="24"/>
          <w:szCs w:val="24"/>
        </w:rPr>
        <w:t xml:space="preserve"> disparities in quality of health service delivery across districts. This needs to be addressed as a matter of urgency.</w:t>
      </w:r>
      <w:r w:rsidRPr="00FD6CBA">
        <w:rPr>
          <w:rFonts w:cs="Times New Roman"/>
          <w:sz w:val="24"/>
          <w:szCs w:val="24"/>
        </w:rPr>
        <w:t xml:space="preserve"> </w:t>
      </w:r>
    </w:p>
    <w:p w:rsidR="00B3649F" w:rsidRPr="00633229" w:rsidRDefault="00B3649F" w:rsidP="00B3649F">
      <w:pPr>
        <w:pStyle w:val="ListParagraph"/>
        <w:spacing w:after="0" w:line="240" w:lineRule="auto"/>
        <w:ind w:left="0"/>
        <w:mirrorIndents/>
        <w:jc w:val="both"/>
        <w:rPr>
          <w:rFonts w:cs="Times New Roman"/>
          <w:sz w:val="24"/>
          <w:szCs w:val="24"/>
        </w:rPr>
      </w:pPr>
    </w:p>
    <w:p w:rsidR="00B3649F" w:rsidRPr="00FD6CBA" w:rsidRDefault="00B3649F" w:rsidP="00B3649F">
      <w:pPr>
        <w:pStyle w:val="ListParagraph"/>
        <w:numPr>
          <w:ilvl w:val="0"/>
          <w:numId w:val="14"/>
        </w:numPr>
        <w:spacing w:after="0" w:line="240" w:lineRule="auto"/>
        <w:ind w:left="0" w:firstLine="0"/>
        <w:mirrorIndents/>
        <w:jc w:val="both"/>
        <w:rPr>
          <w:rFonts w:cs="Times New Roman"/>
          <w:b/>
          <w:sz w:val="24"/>
          <w:szCs w:val="24"/>
        </w:rPr>
      </w:pPr>
      <w:r w:rsidRPr="00FD6CBA">
        <w:rPr>
          <w:rFonts w:cs="Times New Roman"/>
          <w:b/>
          <w:sz w:val="24"/>
          <w:szCs w:val="24"/>
        </w:rPr>
        <w:t>Water</w:t>
      </w:r>
    </w:p>
    <w:p w:rsidR="00B3649F" w:rsidRDefault="00B3649F" w:rsidP="00B3649F">
      <w:pPr>
        <w:spacing w:after="0" w:line="240" w:lineRule="auto"/>
        <w:contextualSpacing/>
        <w:mirrorIndents/>
        <w:jc w:val="both"/>
        <w:rPr>
          <w:rFonts w:cs="Times New Roman"/>
          <w:sz w:val="24"/>
          <w:szCs w:val="24"/>
        </w:rPr>
      </w:pPr>
    </w:p>
    <w:p w:rsidR="00B3649F" w:rsidRDefault="00B3649F" w:rsidP="00B3649F">
      <w:pPr>
        <w:spacing w:after="0" w:line="240" w:lineRule="auto"/>
        <w:contextualSpacing/>
        <w:mirrorIndents/>
        <w:jc w:val="both"/>
        <w:rPr>
          <w:rFonts w:cstheme="minorHAnsi"/>
          <w:i/>
          <w:sz w:val="24"/>
          <w:szCs w:val="24"/>
        </w:rPr>
      </w:pPr>
      <w:r w:rsidRPr="00FD6CBA">
        <w:rPr>
          <w:rFonts w:cstheme="minorHAnsi"/>
          <w:i/>
          <w:sz w:val="24"/>
          <w:szCs w:val="24"/>
        </w:rPr>
        <w:t xml:space="preserve">2012/13 </w:t>
      </w:r>
      <w:r>
        <w:rPr>
          <w:rFonts w:cstheme="minorHAnsi"/>
          <w:i/>
          <w:sz w:val="24"/>
          <w:szCs w:val="24"/>
        </w:rPr>
        <w:t>a</w:t>
      </w:r>
      <w:r w:rsidRPr="00FD6CBA">
        <w:rPr>
          <w:rFonts w:cstheme="minorHAnsi"/>
          <w:i/>
          <w:sz w:val="24"/>
          <w:szCs w:val="24"/>
        </w:rPr>
        <w:t xml:space="preserve">ctual </w:t>
      </w:r>
      <w:r>
        <w:rPr>
          <w:rFonts w:cstheme="minorHAnsi"/>
          <w:i/>
          <w:sz w:val="24"/>
          <w:szCs w:val="24"/>
        </w:rPr>
        <w:t>e</w:t>
      </w:r>
      <w:r w:rsidRPr="00FD6CBA">
        <w:rPr>
          <w:rFonts w:cstheme="minorHAnsi"/>
          <w:i/>
          <w:sz w:val="24"/>
          <w:szCs w:val="24"/>
        </w:rPr>
        <w:t>xpenditure</w:t>
      </w:r>
    </w:p>
    <w:p w:rsidR="00B3649F" w:rsidRDefault="00B3649F" w:rsidP="00B3649F">
      <w:pPr>
        <w:spacing w:after="0" w:line="240" w:lineRule="auto"/>
        <w:contextualSpacing/>
        <w:mirrorIndents/>
        <w:jc w:val="both"/>
        <w:rPr>
          <w:rFonts w:cs="Times New Roman"/>
          <w:sz w:val="24"/>
          <w:szCs w:val="24"/>
        </w:rPr>
      </w:pPr>
    </w:p>
    <w:p w:rsidR="00B3649F" w:rsidRPr="00FD6CBA" w:rsidRDefault="00B3649F" w:rsidP="00B3649F">
      <w:pPr>
        <w:numPr>
          <w:ilvl w:val="0"/>
          <w:numId w:val="30"/>
        </w:numPr>
        <w:tabs>
          <w:tab w:val="num" w:pos="720"/>
        </w:tabs>
        <w:spacing w:after="0" w:line="240" w:lineRule="auto"/>
        <w:ind w:left="0" w:firstLine="0"/>
        <w:contextualSpacing/>
        <w:mirrorIndents/>
        <w:jc w:val="both"/>
        <w:rPr>
          <w:rFonts w:cs="Times New Roman"/>
          <w:sz w:val="24"/>
          <w:szCs w:val="24"/>
        </w:rPr>
      </w:pPr>
      <w:r>
        <w:rPr>
          <w:rFonts w:cs="Times New Roman"/>
          <w:b/>
          <w:sz w:val="24"/>
          <w:szCs w:val="24"/>
        </w:rPr>
        <w:t xml:space="preserve">Budget execution rates in </w:t>
      </w:r>
      <w:r w:rsidR="00E46680">
        <w:rPr>
          <w:rFonts w:cs="Times New Roman"/>
          <w:b/>
          <w:sz w:val="24"/>
          <w:szCs w:val="24"/>
        </w:rPr>
        <w:t xml:space="preserve">the </w:t>
      </w:r>
      <w:r>
        <w:rPr>
          <w:rFonts w:cs="Times New Roman"/>
          <w:b/>
          <w:sz w:val="24"/>
          <w:szCs w:val="24"/>
        </w:rPr>
        <w:t>water sector remain very low</w:t>
      </w:r>
      <w:r w:rsidR="00DD7994">
        <w:rPr>
          <w:rFonts w:cs="Times New Roman"/>
          <w:b/>
          <w:sz w:val="24"/>
          <w:szCs w:val="24"/>
        </w:rPr>
        <w:t>.</w:t>
      </w:r>
      <w:r>
        <w:rPr>
          <w:rFonts w:cs="Times New Roman"/>
          <w:sz w:val="24"/>
          <w:szCs w:val="24"/>
        </w:rPr>
        <w:t xml:space="preserve"> </w:t>
      </w:r>
      <w:r w:rsidR="00EE292E">
        <w:rPr>
          <w:rFonts w:cs="Times New Roman"/>
          <w:sz w:val="24"/>
          <w:szCs w:val="24"/>
        </w:rPr>
        <w:t xml:space="preserve">While there is some </w:t>
      </w:r>
      <w:r>
        <w:rPr>
          <w:rFonts w:cs="Times New Roman"/>
          <w:sz w:val="24"/>
          <w:szCs w:val="24"/>
        </w:rPr>
        <w:t>improvement in 2012/13</w:t>
      </w:r>
      <w:r w:rsidR="00EE292E">
        <w:rPr>
          <w:rFonts w:cs="Times New Roman"/>
          <w:sz w:val="24"/>
          <w:szCs w:val="24"/>
        </w:rPr>
        <w:t xml:space="preserve"> compared to 2011/12, </w:t>
      </w:r>
      <w:r w:rsidR="00DD7994">
        <w:rPr>
          <w:rFonts w:cs="Times New Roman"/>
          <w:sz w:val="24"/>
          <w:szCs w:val="24"/>
        </w:rPr>
        <w:t>a water budget execution rate was only</w:t>
      </w:r>
      <w:r w:rsidR="00EE292E">
        <w:rPr>
          <w:rFonts w:cs="Times New Roman"/>
          <w:sz w:val="24"/>
          <w:szCs w:val="24"/>
        </w:rPr>
        <w:t xml:space="preserve"> </w:t>
      </w:r>
      <w:r w:rsidRPr="00FD6CBA">
        <w:rPr>
          <w:rFonts w:cs="Times New Roman"/>
          <w:sz w:val="24"/>
          <w:szCs w:val="24"/>
        </w:rPr>
        <w:t>56</w:t>
      </w:r>
      <w:r w:rsidR="00E46680">
        <w:rPr>
          <w:rFonts w:cs="Times New Roman"/>
          <w:sz w:val="24"/>
          <w:szCs w:val="24"/>
        </w:rPr>
        <w:t>%</w:t>
      </w:r>
      <w:r w:rsidR="00EE292E">
        <w:rPr>
          <w:rFonts w:cs="Times New Roman"/>
          <w:sz w:val="24"/>
          <w:szCs w:val="24"/>
        </w:rPr>
        <w:t>.</w:t>
      </w:r>
      <w:r w:rsidRPr="00FD6CBA">
        <w:rPr>
          <w:rFonts w:cs="Times New Roman"/>
          <w:sz w:val="24"/>
          <w:szCs w:val="24"/>
        </w:rPr>
        <w:t xml:space="preserve"> </w:t>
      </w:r>
      <w:r w:rsidR="00DD7994">
        <w:rPr>
          <w:rFonts w:cs="Times New Roman"/>
          <w:sz w:val="24"/>
          <w:szCs w:val="24"/>
        </w:rPr>
        <w:t xml:space="preserve">Significant efforts are needed </w:t>
      </w:r>
      <w:r w:rsidR="00EE292E">
        <w:rPr>
          <w:rFonts w:cs="Times New Roman"/>
          <w:sz w:val="24"/>
          <w:szCs w:val="24"/>
        </w:rPr>
        <w:t xml:space="preserve">especially for successful </w:t>
      </w:r>
      <w:r w:rsidR="00653306">
        <w:rPr>
          <w:rFonts w:cs="Times New Roman"/>
          <w:sz w:val="24"/>
          <w:szCs w:val="24"/>
        </w:rPr>
        <w:t>implementation of the BRN action plan on water. In addition to the low execution rate</w:t>
      </w:r>
      <w:r w:rsidR="000A6808">
        <w:rPr>
          <w:rFonts w:cs="Times New Roman"/>
          <w:sz w:val="24"/>
          <w:szCs w:val="24"/>
        </w:rPr>
        <w:t>,</w:t>
      </w:r>
      <w:r w:rsidR="00653306">
        <w:rPr>
          <w:rFonts w:cs="Times New Roman"/>
          <w:sz w:val="24"/>
          <w:szCs w:val="24"/>
        </w:rPr>
        <w:t xml:space="preserve"> the share of the water sector budget in the total Gov</w:t>
      </w:r>
      <w:r w:rsidRPr="00FD6CBA">
        <w:rPr>
          <w:rFonts w:cs="Times New Roman"/>
          <w:sz w:val="24"/>
          <w:szCs w:val="24"/>
        </w:rPr>
        <w:t xml:space="preserve">ernment </w:t>
      </w:r>
      <w:r w:rsidR="00DD7994">
        <w:rPr>
          <w:rFonts w:cs="Times New Roman"/>
          <w:sz w:val="24"/>
          <w:szCs w:val="24"/>
        </w:rPr>
        <w:t xml:space="preserve">actual </w:t>
      </w:r>
      <w:r w:rsidRPr="00FD6CBA">
        <w:rPr>
          <w:rFonts w:cs="Times New Roman"/>
          <w:sz w:val="24"/>
          <w:szCs w:val="24"/>
        </w:rPr>
        <w:t xml:space="preserve">expenditure has </w:t>
      </w:r>
      <w:r w:rsidR="00653306">
        <w:rPr>
          <w:rFonts w:cs="Times New Roman"/>
          <w:sz w:val="24"/>
          <w:szCs w:val="24"/>
        </w:rPr>
        <w:t>remained below 3 percent (on</w:t>
      </w:r>
      <w:r w:rsidRPr="00FD6CBA">
        <w:rPr>
          <w:rFonts w:cs="Times New Roman"/>
          <w:sz w:val="24"/>
          <w:szCs w:val="24"/>
        </w:rPr>
        <w:t xml:space="preserve"> average</w:t>
      </w:r>
      <w:r w:rsidR="00653306">
        <w:rPr>
          <w:rFonts w:cs="Times New Roman"/>
          <w:sz w:val="24"/>
          <w:szCs w:val="24"/>
        </w:rPr>
        <w:t xml:space="preserve">) </w:t>
      </w:r>
      <w:r w:rsidRPr="00FD6CBA">
        <w:rPr>
          <w:rFonts w:cs="Times New Roman"/>
          <w:sz w:val="24"/>
          <w:szCs w:val="24"/>
        </w:rPr>
        <w:t xml:space="preserve">in the past three years. </w:t>
      </w:r>
    </w:p>
    <w:p w:rsidR="00B3649F" w:rsidRDefault="00B3649F" w:rsidP="00B3649F">
      <w:pPr>
        <w:spacing w:after="0" w:line="240" w:lineRule="auto"/>
        <w:contextualSpacing/>
        <w:mirrorIndents/>
        <w:jc w:val="both"/>
        <w:rPr>
          <w:rFonts w:cs="Times New Roman"/>
          <w:sz w:val="24"/>
          <w:szCs w:val="24"/>
        </w:rPr>
      </w:pPr>
    </w:p>
    <w:p w:rsidR="00B3649F" w:rsidRDefault="00B3649F" w:rsidP="00B3649F">
      <w:pPr>
        <w:spacing w:after="0" w:line="240" w:lineRule="auto"/>
        <w:mirrorIndents/>
        <w:jc w:val="both"/>
        <w:rPr>
          <w:rFonts w:cstheme="minorHAnsi"/>
          <w:i/>
          <w:sz w:val="24"/>
          <w:szCs w:val="24"/>
        </w:rPr>
      </w:pPr>
      <w:r w:rsidRPr="00FD6CBA">
        <w:rPr>
          <w:rFonts w:cstheme="minorHAnsi"/>
          <w:i/>
          <w:sz w:val="24"/>
          <w:szCs w:val="24"/>
        </w:rPr>
        <w:t xml:space="preserve">2013/14 </w:t>
      </w:r>
      <w:r>
        <w:rPr>
          <w:rFonts w:cstheme="minorHAnsi"/>
          <w:i/>
          <w:sz w:val="24"/>
          <w:szCs w:val="24"/>
        </w:rPr>
        <w:t>approved b</w:t>
      </w:r>
      <w:r w:rsidRPr="00FD6CBA">
        <w:rPr>
          <w:rFonts w:cstheme="minorHAnsi"/>
          <w:i/>
          <w:sz w:val="24"/>
          <w:szCs w:val="24"/>
        </w:rPr>
        <w:t>udget</w:t>
      </w:r>
    </w:p>
    <w:p w:rsidR="00B3649F" w:rsidRPr="00FD6CBA" w:rsidRDefault="00B3649F" w:rsidP="00B3649F">
      <w:pPr>
        <w:spacing w:after="0" w:line="240" w:lineRule="auto"/>
        <w:contextualSpacing/>
        <w:mirrorIndents/>
        <w:jc w:val="both"/>
        <w:rPr>
          <w:rFonts w:cs="Times New Roman"/>
          <w:sz w:val="24"/>
          <w:szCs w:val="24"/>
        </w:rPr>
      </w:pPr>
    </w:p>
    <w:p w:rsidR="00B3649F" w:rsidRPr="00B03260" w:rsidRDefault="00DD7994" w:rsidP="00B03260">
      <w:pPr>
        <w:numPr>
          <w:ilvl w:val="0"/>
          <w:numId w:val="30"/>
        </w:numPr>
        <w:tabs>
          <w:tab w:val="num" w:pos="720"/>
        </w:tabs>
        <w:spacing w:after="0" w:line="240" w:lineRule="auto"/>
        <w:ind w:left="0" w:firstLine="0"/>
        <w:contextualSpacing/>
        <w:mirrorIndents/>
        <w:jc w:val="both"/>
        <w:rPr>
          <w:rFonts w:cs="Times New Roman"/>
          <w:sz w:val="24"/>
          <w:szCs w:val="24"/>
        </w:rPr>
      </w:pPr>
      <w:r>
        <w:rPr>
          <w:rFonts w:cs="Times New Roman"/>
          <w:b/>
          <w:sz w:val="24"/>
          <w:szCs w:val="24"/>
        </w:rPr>
        <w:t>The</w:t>
      </w:r>
      <w:r w:rsidR="00B03260">
        <w:rPr>
          <w:rFonts w:cs="Times New Roman"/>
          <w:b/>
          <w:sz w:val="24"/>
          <w:szCs w:val="24"/>
        </w:rPr>
        <w:t xml:space="preserve"> share of public resources to the water sector is projected</w:t>
      </w:r>
      <w:r w:rsidR="00E46680">
        <w:rPr>
          <w:rFonts w:cs="Times New Roman"/>
          <w:b/>
          <w:sz w:val="24"/>
          <w:szCs w:val="24"/>
        </w:rPr>
        <w:t xml:space="preserve"> to</w:t>
      </w:r>
      <w:r w:rsidR="00B03260">
        <w:rPr>
          <w:rFonts w:cs="Times New Roman"/>
          <w:b/>
          <w:sz w:val="24"/>
          <w:szCs w:val="24"/>
        </w:rPr>
        <w:t xml:space="preserve"> decline from 4.5 percent </w:t>
      </w:r>
      <w:r w:rsidR="00E46680">
        <w:rPr>
          <w:rFonts w:cs="Times New Roman"/>
          <w:b/>
          <w:sz w:val="24"/>
          <w:szCs w:val="24"/>
        </w:rPr>
        <w:t xml:space="preserve">of total </w:t>
      </w:r>
      <w:r w:rsidR="000C2496">
        <w:rPr>
          <w:rFonts w:cs="Times New Roman"/>
          <w:b/>
          <w:sz w:val="24"/>
          <w:szCs w:val="24"/>
        </w:rPr>
        <w:t>approved budget</w:t>
      </w:r>
      <w:r w:rsidR="00E46680">
        <w:rPr>
          <w:rFonts w:cs="Times New Roman"/>
          <w:b/>
          <w:sz w:val="24"/>
          <w:szCs w:val="24"/>
        </w:rPr>
        <w:t xml:space="preserve"> in 2012/13 to</w:t>
      </w:r>
      <w:r w:rsidR="000C2496">
        <w:rPr>
          <w:rFonts w:cs="Times New Roman"/>
          <w:b/>
          <w:sz w:val="24"/>
          <w:szCs w:val="24"/>
        </w:rPr>
        <w:t xml:space="preserve"> </w:t>
      </w:r>
      <w:r w:rsidR="00B03260">
        <w:rPr>
          <w:rFonts w:cs="Times New Roman"/>
          <w:b/>
          <w:sz w:val="24"/>
          <w:szCs w:val="24"/>
        </w:rPr>
        <w:t xml:space="preserve">4.3 percent </w:t>
      </w:r>
      <w:r w:rsidR="000C2496">
        <w:rPr>
          <w:rFonts w:cs="Times New Roman"/>
          <w:b/>
          <w:sz w:val="24"/>
          <w:szCs w:val="24"/>
        </w:rPr>
        <w:t xml:space="preserve">in </w:t>
      </w:r>
      <w:r w:rsidR="00B03260">
        <w:rPr>
          <w:rFonts w:cs="Times New Roman"/>
          <w:b/>
          <w:sz w:val="24"/>
          <w:szCs w:val="24"/>
        </w:rPr>
        <w:t>2013/14</w:t>
      </w:r>
      <w:r w:rsidR="000C2496">
        <w:rPr>
          <w:rFonts w:cs="Times New Roman"/>
          <w:b/>
          <w:sz w:val="24"/>
          <w:szCs w:val="24"/>
        </w:rPr>
        <w:t xml:space="preserve">. </w:t>
      </w:r>
      <w:r w:rsidR="000C2496" w:rsidRPr="00077391">
        <w:rPr>
          <w:rFonts w:cs="Times New Roman"/>
          <w:sz w:val="24"/>
          <w:szCs w:val="24"/>
        </w:rPr>
        <w:t xml:space="preserve">This </w:t>
      </w:r>
      <w:r w:rsidR="000C2496">
        <w:rPr>
          <w:rFonts w:cs="Times New Roman"/>
          <w:sz w:val="24"/>
          <w:szCs w:val="24"/>
        </w:rPr>
        <w:t>will be</w:t>
      </w:r>
      <w:r w:rsidR="00B03260" w:rsidRPr="00077391">
        <w:rPr>
          <w:rFonts w:cs="Times New Roman"/>
          <w:sz w:val="24"/>
          <w:szCs w:val="24"/>
        </w:rPr>
        <w:t xml:space="preserve"> driven by</w:t>
      </w:r>
      <w:r w:rsidR="000C2496">
        <w:rPr>
          <w:rFonts w:cs="Times New Roman"/>
          <w:sz w:val="24"/>
          <w:szCs w:val="24"/>
        </w:rPr>
        <w:t xml:space="preserve"> a</w:t>
      </w:r>
      <w:r w:rsidR="00B03260" w:rsidRPr="00077391">
        <w:rPr>
          <w:rFonts w:cs="Times New Roman"/>
          <w:sz w:val="24"/>
          <w:szCs w:val="24"/>
        </w:rPr>
        <w:t xml:space="preserve"> decline in foreign financing to the sector. </w:t>
      </w:r>
      <w:r w:rsidR="00B03260">
        <w:rPr>
          <w:rFonts w:cs="Times New Roman"/>
          <w:sz w:val="24"/>
          <w:szCs w:val="24"/>
        </w:rPr>
        <w:t>Nevertheless, l</w:t>
      </w:r>
      <w:r w:rsidR="00B03260" w:rsidRPr="00B03260">
        <w:rPr>
          <w:sz w:val="24"/>
          <w:szCs w:val="24"/>
        </w:rPr>
        <w:t xml:space="preserve">ocal financing of water sector </w:t>
      </w:r>
      <w:r w:rsidR="00B03260">
        <w:rPr>
          <w:sz w:val="24"/>
          <w:szCs w:val="24"/>
        </w:rPr>
        <w:t xml:space="preserve">is projected to significantly </w:t>
      </w:r>
      <w:r w:rsidR="00B03260" w:rsidRPr="00B03260">
        <w:rPr>
          <w:sz w:val="24"/>
          <w:szCs w:val="24"/>
        </w:rPr>
        <w:t>increase</w:t>
      </w:r>
      <w:r w:rsidR="00B03260">
        <w:rPr>
          <w:sz w:val="24"/>
          <w:szCs w:val="24"/>
        </w:rPr>
        <w:t xml:space="preserve"> </w:t>
      </w:r>
      <w:r w:rsidR="000C2496">
        <w:rPr>
          <w:sz w:val="24"/>
          <w:szCs w:val="24"/>
        </w:rPr>
        <w:t xml:space="preserve">in </w:t>
      </w:r>
      <w:r w:rsidR="00B03260">
        <w:rPr>
          <w:sz w:val="24"/>
          <w:szCs w:val="24"/>
        </w:rPr>
        <w:t>2</w:t>
      </w:r>
      <w:r w:rsidR="00B03260" w:rsidRPr="00B03260">
        <w:rPr>
          <w:sz w:val="24"/>
          <w:szCs w:val="24"/>
        </w:rPr>
        <w:t>013/14</w:t>
      </w:r>
      <w:r w:rsidR="0026378E">
        <w:rPr>
          <w:sz w:val="24"/>
          <w:szCs w:val="24"/>
        </w:rPr>
        <w:t xml:space="preserve">, directed to projects and programs in rural areas. </w:t>
      </w:r>
      <w:r w:rsidR="00B3649F" w:rsidRPr="00B03260">
        <w:rPr>
          <w:rFonts w:cs="Times New Roman"/>
          <w:sz w:val="24"/>
          <w:szCs w:val="24"/>
        </w:rPr>
        <w:lastRenderedPageBreak/>
        <w:t xml:space="preserve">This illustrates the </w:t>
      </w:r>
      <w:r w:rsidR="000A6808" w:rsidRPr="00B03260">
        <w:rPr>
          <w:rFonts w:cs="Times New Roman"/>
          <w:sz w:val="24"/>
          <w:szCs w:val="24"/>
        </w:rPr>
        <w:t>G</w:t>
      </w:r>
      <w:r w:rsidR="00B3649F" w:rsidRPr="00B03260">
        <w:rPr>
          <w:rFonts w:cs="Times New Roman"/>
          <w:sz w:val="24"/>
          <w:szCs w:val="24"/>
        </w:rPr>
        <w:t xml:space="preserve">overnment’s commitment to improve access to water services </w:t>
      </w:r>
      <w:r w:rsidR="000A6808" w:rsidRPr="00B03260">
        <w:rPr>
          <w:rFonts w:cs="Times New Roman"/>
          <w:sz w:val="24"/>
          <w:szCs w:val="24"/>
        </w:rPr>
        <w:t>to</w:t>
      </w:r>
      <w:r w:rsidR="000C2496">
        <w:rPr>
          <w:rFonts w:cs="Times New Roman"/>
          <w:sz w:val="24"/>
          <w:szCs w:val="24"/>
        </w:rPr>
        <w:t xml:space="preserve"> the</w:t>
      </w:r>
      <w:r w:rsidR="000A6808" w:rsidRPr="00B03260">
        <w:rPr>
          <w:rFonts w:cs="Times New Roman"/>
          <w:sz w:val="24"/>
          <w:szCs w:val="24"/>
        </w:rPr>
        <w:t xml:space="preserve"> majority of </w:t>
      </w:r>
      <w:r w:rsidR="00B3649F" w:rsidRPr="00B03260">
        <w:rPr>
          <w:rFonts w:cs="Times New Roman"/>
          <w:sz w:val="24"/>
          <w:szCs w:val="24"/>
        </w:rPr>
        <w:t>Tanzania</w:t>
      </w:r>
      <w:r w:rsidR="000A6808" w:rsidRPr="00B03260">
        <w:rPr>
          <w:rFonts w:cs="Times New Roman"/>
          <w:sz w:val="24"/>
          <w:szCs w:val="24"/>
        </w:rPr>
        <w:t>ns</w:t>
      </w:r>
      <w:r w:rsidR="00B3649F" w:rsidRPr="00B03260">
        <w:rPr>
          <w:rFonts w:cs="Times New Roman"/>
          <w:sz w:val="24"/>
          <w:szCs w:val="24"/>
        </w:rPr>
        <w:t xml:space="preserve">. </w:t>
      </w:r>
    </w:p>
    <w:p w:rsidR="00B3649F" w:rsidRPr="00FD6CBA" w:rsidRDefault="00B3649F" w:rsidP="00B3649F">
      <w:pPr>
        <w:pStyle w:val="ListParagraph"/>
        <w:spacing w:after="0" w:line="240" w:lineRule="auto"/>
        <w:ind w:left="0"/>
        <w:mirrorIndents/>
        <w:jc w:val="both"/>
        <w:rPr>
          <w:rFonts w:cs="Times New Roman"/>
          <w:sz w:val="24"/>
          <w:szCs w:val="24"/>
        </w:rPr>
      </w:pPr>
    </w:p>
    <w:p w:rsidR="00B3649F" w:rsidRPr="00FD6CBA" w:rsidRDefault="005357DA" w:rsidP="00B3649F">
      <w:pPr>
        <w:numPr>
          <w:ilvl w:val="0"/>
          <w:numId w:val="30"/>
        </w:numPr>
        <w:tabs>
          <w:tab w:val="num" w:pos="720"/>
        </w:tabs>
        <w:spacing w:after="0" w:line="240" w:lineRule="auto"/>
        <w:ind w:left="0" w:firstLine="0"/>
        <w:contextualSpacing/>
        <w:mirrorIndents/>
        <w:jc w:val="both"/>
        <w:rPr>
          <w:rFonts w:cs="Times New Roman"/>
          <w:sz w:val="24"/>
          <w:szCs w:val="24"/>
        </w:rPr>
      </w:pPr>
      <w:r>
        <w:rPr>
          <w:rFonts w:cs="Times New Roman"/>
          <w:b/>
          <w:sz w:val="24"/>
          <w:szCs w:val="24"/>
        </w:rPr>
        <w:t>There is al</w:t>
      </w:r>
      <w:r w:rsidR="00B3649F" w:rsidRPr="00946A70">
        <w:rPr>
          <w:rFonts w:cs="Times New Roman"/>
          <w:b/>
          <w:sz w:val="24"/>
          <w:szCs w:val="24"/>
        </w:rPr>
        <w:t xml:space="preserve">so </w:t>
      </w:r>
      <w:r w:rsidR="000C2496">
        <w:rPr>
          <w:rFonts w:cs="Times New Roman"/>
          <w:b/>
          <w:sz w:val="24"/>
          <w:szCs w:val="24"/>
        </w:rPr>
        <w:t xml:space="preserve">an </w:t>
      </w:r>
      <w:r w:rsidR="00B3649F" w:rsidRPr="00946A70">
        <w:rPr>
          <w:rFonts w:cs="Times New Roman"/>
          <w:b/>
          <w:sz w:val="24"/>
          <w:szCs w:val="24"/>
        </w:rPr>
        <w:t xml:space="preserve">increased </w:t>
      </w:r>
      <w:r>
        <w:rPr>
          <w:rFonts w:cs="Times New Roman"/>
          <w:b/>
          <w:sz w:val="24"/>
          <w:szCs w:val="24"/>
        </w:rPr>
        <w:t xml:space="preserve">budget </w:t>
      </w:r>
      <w:r w:rsidR="00B3649F" w:rsidRPr="00946A70">
        <w:rPr>
          <w:rFonts w:cs="Times New Roman"/>
          <w:b/>
          <w:sz w:val="24"/>
          <w:szCs w:val="24"/>
        </w:rPr>
        <w:t>allocation for water</w:t>
      </w:r>
      <w:r>
        <w:rPr>
          <w:rFonts w:cs="Times New Roman"/>
          <w:b/>
          <w:sz w:val="24"/>
          <w:szCs w:val="24"/>
        </w:rPr>
        <w:t xml:space="preserve"> programs and projects </w:t>
      </w:r>
      <w:r w:rsidR="00B3649F" w:rsidRPr="00946A70">
        <w:rPr>
          <w:rFonts w:cs="Times New Roman"/>
          <w:b/>
          <w:sz w:val="24"/>
          <w:szCs w:val="24"/>
        </w:rPr>
        <w:t>in LGAs</w:t>
      </w:r>
      <w:r w:rsidR="00B3649F">
        <w:rPr>
          <w:rFonts w:cs="Times New Roman"/>
          <w:sz w:val="24"/>
          <w:szCs w:val="24"/>
        </w:rPr>
        <w:t xml:space="preserve">. </w:t>
      </w:r>
      <w:r w:rsidR="00B3649F" w:rsidRPr="00FD6CBA">
        <w:rPr>
          <w:rFonts w:cs="Times New Roman"/>
          <w:sz w:val="24"/>
          <w:szCs w:val="24"/>
        </w:rPr>
        <w:t xml:space="preserve">After declining for the past three years, </w:t>
      </w:r>
      <w:r>
        <w:rPr>
          <w:rFonts w:cs="Times New Roman"/>
          <w:sz w:val="24"/>
          <w:szCs w:val="24"/>
        </w:rPr>
        <w:t xml:space="preserve">spending on water programs and projects in the regions and LGAs </w:t>
      </w:r>
      <w:r w:rsidR="00B3649F" w:rsidRPr="00FD6CBA">
        <w:rPr>
          <w:rFonts w:cs="Times New Roman"/>
          <w:sz w:val="24"/>
          <w:szCs w:val="24"/>
        </w:rPr>
        <w:t xml:space="preserve">is </w:t>
      </w:r>
      <w:r>
        <w:rPr>
          <w:rFonts w:cs="Times New Roman"/>
          <w:sz w:val="24"/>
          <w:szCs w:val="24"/>
        </w:rPr>
        <w:t xml:space="preserve">anticipated </w:t>
      </w:r>
      <w:r w:rsidR="00B3649F" w:rsidRPr="00FD6CBA">
        <w:rPr>
          <w:rFonts w:cs="Times New Roman"/>
          <w:sz w:val="24"/>
          <w:szCs w:val="24"/>
        </w:rPr>
        <w:t>to increase by 5 percent in 2013/14</w:t>
      </w:r>
      <w:r>
        <w:rPr>
          <w:rFonts w:cs="Times New Roman"/>
          <w:sz w:val="24"/>
          <w:szCs w:val="24"/>
        </w:rPr>
        <w:t xml:space="preserve"> compared to 2012/13</w:t>
      </w:r>
      <w:r w:rsidR="00B3649F" w:rsidRPr="00FD6CBA">
        <w:rPr>
          <w:rFonts w:cs="Times New Roman"/>
          <w:sz w:val="24"/>
          <w:szCs w:val="24"/>
        </w:rPr>
        <w:t>. This illustrates a positive commitment to decentralization and is largely driven by the increase in</w:t>
      </w:r>
      <w:r w:rsidR="000C2496">
        <w:rPr>
          <w:rFonts w:cs="Times New Roman"/>
          <w:sz w:val="24"/>
          <w:szCs w:val="24"/>
        </w:rPr>
        <w:t xml:space="preserve"> the</w:t>
      </w:r>
      <w:r w:rsidR="00B3649F" w:rsidRPr="00FD6CBA">
        <w:rPr>
          <w:rFonts w:cs="Times New Roman"/>
          <w:sz w:val="24"/>
          <w:szCs w:val="24"/>
        </w:rPr>
        <w:t xml:space="preserve"> development budget through the rural water and sanitation program. The water sector budget directed to rural water development programs has increased significantly in 2013/14 to 49 percent from 15 percent in 2012/13, thereby altering the urban bias seen in the 2012/13 budget. </w:t>
      </w:r>
    </w:p>
    <w:p w:rsidR="00B3649F" w:rsidRPr="00FD6CBA" w:rsidRDefault="00B3649F" w:rsidP="00B3649F">
      <w:pPr>
        <w:pStyle w:val="ListParagraph"/>
        <w:spacing w:after="0" w:line="240" w:lineRule="auto"/>
        <w:ind w:left="0"/>
        <w:mirrorIndents/>
        <w:jc w:val="both"/>
        <w:rPr>
          <w:rFonts w:cs="Times New Roman"/>
          <w:sz w:val="24"/>
          <w:szCs w:val="24"/>
        </w:rPr>
      </w:pPr>
    </w:p>
    <w:p w:rsidR="00B3649F" w:rsidRPr="00FD6CBA" w:rsidRDefault="000C2496" w:rsidP="00B3649F">
      <w:pPr>
        <w:numPr>
          <w:ilvl w:val="0"/>
          <w:numId w:val="30"/>
        </w:numPr>
        <w:tabs>
          <w:tab w:val="num" w:pos="720"/>
        </w:tabs>
        <w:spacing w:after="0" w:line="240" w:lineRule="auto"/>
        <w:ind w:left="0" w:firstLine="0"/>
        <w:contextualSpacing/>
        <w:mirrorIndents/>
        <w:jc w:val="both"/>
        <w:rPr>
          <w:rFonts w:cs="Times New Roman"/>
          <w:sz w:val="24"/>
          <w:szCs w:val="24"/>
        </w:rPr>
      </w:pPr>
      <w:r>
        <w:rPr>
          <w:rFonts w:cs="Times New Roman"/>
          <w:b/>
          <w:sz w:val="24"/>
          <w:szCs w:val="24"/>
        </w:rPr>
        <w:t>The w</w:t>
      </w:r>
      <w:r w:rsidR="00B3649F" w:rsidRPr="00946A70">
        <w:rPr>
          <w:rFonts w:cs="Times New Roman"/>
          <w:b/>
          <w:sz w:val="24"/>
          <w:szCs w:val="24"/>
        </w:rPr>
        <w:t>ater sector budget</w:t>
      </w:r>
      <w:r>
        <w:rPr>
          <w:rFonts w:cs="Times New Roman"/>
          <w:b/>
          <w:sz w:val="24"/>
          <w:szCs w:val="24"/>
        </w:rPr>
        <w:t xml:space="preserve"> is</w:t>
      </w:r>
      <w:r w:rsidR="00B3649F" w:rsidRPr="00946A70">
        <w:rPr>
          <w:rFonts w:cs="Times New Roman"/>
          <w:b/>
          <w:sz w:val="24"/>
          <w:szCs w:val="24"/>
        </w:rPr>
        <w:t xml:space="preserve"> broadly aligned to sector policy priorities</w:t>
      </w:r>
      <w:r w:rsidR="00596605">
        <w:rPr>
          <w:rFonts w:cs="Times New Roman"/>
          <w:b/>
          <w:sz w:val="24"/>
          <w:szCs w:val="24"/>
        </w:rPr>
        <w:t xml:space="preserve"> but </w:t>
      </w:r>
      <w:r>
        <w:rPr>
          <w:rFonts w:cs="Times New Roman"/>
          <w:b/>
          <w:sz w:val="24"/>
          <w:szCs w:val="24"/>
        </w:rPr>
        <w:t xml:space="preserve">the </w:t>
      </w:r>
      <w:r w:rsidR="00596605" w:rsidRPr="00946A70">
        <w:rPr>
          <w:rFonts w:cs="Times New Roman"/>
          <w:b/>
          <w:sz w:val="24"/>
          <w:szCs w:val="24"/>
        </w:rPr>
        <w:t xml:space="preserve">delays in disbursement of development funds to LGA </w:t>
      </w:r>
      <w:r w:rsidR="00596605">
        <w:rPr>
          <w:rFonts w:cs="Times New Roman"/>
          <w:b/>
          <w:sz w:val="24"/>
          <w:szCs w:val="24"/>
        </w:rPr>
        <w:t>are set</w:t>
      </w:r>
      <w:r>
        <w:rPr>
          <w:rFonts w:cs="Times New Roman"/>
          <w:b/>
          <w:sz w:val="24"/>
          <w:szCs w:val="24"/>
        </w:rPr>
        <w:t xml:space="preserve"> to</w:t>
      </w:r>
      <w:r w:rsidR="00596605">
        <w:rPr>
          <w:rFonts w:cs="Times New Roman"/>
          <w:b/>
          <w:sz w:val="24"/>
          <w:szCs w:val="24"/>
        </w:rPr>
        <w:t xml:space="preserve"> </w:t>
      </w:r>
      <w:r w:rsidR="00596605" w:rsidRPr="00946A70">
        <w:rPr>
          <w:rFonts w:cs="Times New Roman"/>
          <w:b/>
          <w:sz w:val="24"/>
          <w:szCs w:val="24"/>
        </w:rPr>
        <w:t>persist</w:t>
      </w:r>
      <w:r w:rsidR="00596605">
        <w:rPr>
          <w:rFonts w:cs="Times New Roman"/>
          <w:b/>
          <w:sz w:val="24"/>
          <w:szCs w:val="24"/>
        </w:rPr>
        <w:t xml:space="preserve">.  </w:t>
      </w:r>
      <w:r w:rsidR="00B3649F" w:rsidRPr="00FD6CBA">
        <w:rPr>
          <w:rFonts w:cs="Times New Roman"/>
          <w:sz w:val="24"/>
          <w:szCs w:val="24"/>
        </w:rPr>
        <w:t>Analysis has indicated a reasonable alignment of the sector approved budget with key strategic objectives and projects in the sector as set out in the WSDP, M</w:t>
      </w:r>
      <w:r w:rsidR="00B3649F">
        <w:rPr>
          <w:rFonts w:cs="Times New Roman"/>
          <w:sz w:val="24"/>
          <w:szCs w:val="24"/>
        </w:rPr>
        <w:t>KUKUTA</w:t>
      </w:r>
      <w:r w:rsidR="00B3649F" w:rsidRPr="00FD6CBA">
        <w:rPr>
          <w:rFonts w:cs="Times New Roman"/>
          <w:sz w:val="24"/>
          <w:szCs w:val="24"/>
        </w:rPr>
        <w:t xml:space="preserve"> and BRN. </w:t>
      </w:r>
      <w:r w:rsidR="00596605">
        <w:rPr>
          <w:rFonts w:cs="Times New Roman"/>
          <w:sz w:val="24"/>
          <w:szCs w:val="24"/>
        </w:rPr>
        <w:t>However, t</w:t>
      </w:r>
      <w:r w:rsidR="00B3649F" w:rsidRPr="00FD6CBA">
        <w:rPr>
          <w:rFonts w:cs="Times New Roman"/>
          <w:sz w:val="24"/>
          <w:szCs w:val="24"/>
        </w:rPr>
        <w:t>he</w:t>
      </w:r>
      <w:r w:rsidR="00596605">
        <w:rPr>
          <w:rFonts w:cs="Times New Roman"/>
          <w:sz w:val="24"/>
          <w:szCs w:val="24"/>
        </w:rPr>
        <w:t xml:space="preserve"> </w:t>
      </w:r>
      <w:r w:rsidR="00B3649F" w:rsidRPr="00FD6CBA">
        <w:rPr>
          <w:rFonts w:cs="Times New Roman"/>
          <w:sz w:val="24"/>
          <w:szCs w:val="24"/>
        </w:rPr>
        <w:t xml:space="preserve">Lower </w:t>
      </w:r>
      <w:proofErr w:type="spellStart"/>
      <w:r w:rsidR="00B3649F" w:rsidRPr="00FD6CBA">
        <w:rPr>
          <w:rFonts w:cs="Times New Roman"/>
          <w:sz w:val="24"/>
          <w:szCs w:val="24"/>
        </w:rPr>
        <w:t>Ruvu</w:t>
      </w:r>
      <w:proofErr w:type="spellEnd"/>
      <w:r w:rsidR="00B3649F" w:rsidRPr="00FD6CBA">
        <w:rPr>
          <w:rFonts w:cs="Times New Roman"/>
          <w:sz w:val="24"/>
          <w:szCs w:val="24"/>
        </w:rPr>
        <w:t xml:space="preserve"> </w:t>
      </w:r>
      <w:r w:rsidR="00596605">
        <w:rPr>
          <w:rFonts w:cs="Times New Roman"/>
          <w:sz w:val="24"/>
          <w:szCs w:val="24"/>
        </w:rPr>
        <w:t xml:space="preserve">water </w:t>
      </w:r>
      <w:r w:rsidR="00B3649F" w:rsidRPr="00FD6CBA">
        <w:rPr>
          <w:rFonts w:cs="Times New Roman"/>
          <w:sz w:val="24"/>
          <w:szCs w:val="24"/>
        </w:rPr>
        <w:t xml:space="preserve">project </w:t>
      </w:r>
      <w:r w:rsidR="00596605">
        <w:rPr>
          <w:rFonts w:cs="Times New Roman"/>
          <w:sz w:val="24"/>
          <w:szCs w:val="24"/>
        </w:rPr>
        <w:t xml:space="preserve">remains </w:t>
      </w:r>
      <w:r w:rsidR="00B3649F" w:rsidRPr="00FD6CBA">
        <w:rPr>
          <w:rFonts w:cs="Times New Roman"/>
          <w:sz w:val="24"/>
          <w:szCs w:val="24"/>
        </w:rPr>
        <w:t xml:space="preserve">significantly underfunded.  There </w:t>
      </w:r>
      <w:r w:rsidR="00596605">
        <w:rPr>
          <w:rFonts w:cs="Times New Roman"/>
          <w:sz w:val="24"/>
          <w:szCs w:val="24"/>
        </w:rPr>
        <w:t xml:space="preserve">is also a significant </w:t>
      </w:r>
      <w:r w:rsidR="00B3649F" w:rsidRPr="00FD6CBA">
        <w:rPr>
          <w:rFonts w:cs="Times New Roman"/>
          <w:sz w:val="24"/>
          <w:szCs w:val="24"/>
        </w:rPr>
        <w:t xml:space="preserve">funding gap implementing the BRN Initiative in </w:t>
      </w:r>
      <w:r w:rsidR="00596605">
        <w:rPr>
          <w:rFonts w:cs="Times New Roman"/>
          <w:sz w:val="24"/>
          <w:szCs w:val="24"/>
        </w:rPr>
        <w:t>water (44 percent gap).</w:t>
      </w:r>
      <w:r w:rsidR="00B3649F" w:rsidRPr="00FD6CBA">
        <w:rPr>
          <w:rFonts w:cs="Times New Roman"/>
          <w:sz w:val="24"/>
          <w:szCs w:val="24"/>
        </w:rPr>
        <w:t xml:space="preserve"> </w:t>
      </w:r>
      <w:r w:rsidR="00596605" w:rsidRPr="00FD6CBA">
        <w:rPr>
          <w:rFonts w:cs="Times New Roman"/>
          <w:sz w:val="24"/>
          <w:szCs w:val="24"/>
        </w:rPr>
        <w:t>Furthermore, there is concern about</w:t>
      </w:r>
      <w:r>
        <w:rPr>
          <w:rFonts w:cs="Times New Roman"/>
          <w:sz w:val="24"/>
          <w:szCs w:val="24"/>
        </w:rPr>
        <w:t xml:space="preserve"> the</w:t>
      </w:r>
      <w:r w:rsidR="001C01CB">
        <w:rPr>
          <w:rFonts w:cs="Times New Roman"/>
          <w:sz w:val="24"/>
          <w:szCs w:val="24"/>
        </w:rPr>
        <w:t xml:space="preserve"> timely </w:t>
      </w:r>
      <w:r w:rsidR="00596605" w:rsidRPr="00FD6CBA">
        <w:rPr>
          <w:rFonts w:cs="Times New Roman"/>
          <w:sz w:val="24"/>
          <w:szCs w:val="24"/>
        </w:rPr>
        <w:t xml:space="preserve">availability of funds </w:t>
      </w:r>
      <w:r w:rsidR="001C01CB">
        <w:rPr>
          <w:rFonts w:cs="Times New Roman"/>
          <w:sz w:val="24"/>
          <w:szCs w:val="24"/>
        </w:rPr>
        <w:t xml:space="preserve">to </w:t>
      </w:r>
      <w:r w:rsidR="00596605" w:rsidRPr="00FD6CBA">
        <w:rPr>
          <w:rFonts w:cs="Times New Roman"/>
          <w:sz w:val="24"/>
          <w:szCs w:val="24"/>
        </w:rPr>
        <w:t>implementing units</w:t>
      </w:r>
      <w:r w:rsidR="00596605">
        <w:rPr>
          <w:rFonts w:cs="Times New Roman"/>
          <w:sz w:val="24"/>
          <w:szCs w:val="24"/>
        </w:rPr>
        <w:t xml:space="preserve"> to carry out development projects in rural areas.</w:t>
      </w:r>
      <w:r w:rsidR="00596605" w:rsidRPr="00FD6CBA">
        <w:rPr>
          <w:rFonts w:cs="Times New Roman"/>
          <w:sz w:val="24"/>
          <w:szCs w:val="24"/>
        </w:rPr>
        <w:t xml:space="preserve"> This trend seems to </w:t>
      </w:r>
      <w:r w:rsidR="001C01CB">
        <w:rPr>
          <w:rFonts w:cs="Times New Roman"/>
          <w:sz w:val="24"/>
          <w:szCs w:val="24"/>
        </w:rPr>
        <w:t xml:space="preserve">continue because until </w:t>
      </w:r>
      <w:r>
        <w:rPr>
          <w:rFonts w:cs="Times New Roman"/>
          <w:sz w:val="24"/>
          <w:szCs w:val="24"/>
        </w:rPr>
        <w:t xml:space="preserve">the </w:t>
      </w:r>
      <w:r w:rsidR="001C01CB">
        <w:rPr>
          <w:rFonts w:cs="Times New Roman"/>
          <w:sz w:val="24"/>
          <w:szCs w:val="24"/>
        </w:rPr>
        <w:t xml:space="preserve">end of the first quarter of 2013/14 there </w:t>
      </w:r>
      <w:r w:rsidR="00EB199B">
        <w:rPr>
          <w:rFonts w:cs="Times New Roman"/>
          <w:sz w:val="24"/>
          <w:szCs w:val="24"/>
        </w:rPr>
        <w:t>are no funds</w:t>
      </w:r>
      <w:r w:rsidR="001C01CB">
        <w:rPr>
          <w:rFonts w:cs="Times New Roman"/>
          <w:sz w:val="24"/>
          <w:szCs w:val="24"/>
        </w:rPr>
        <w:t xml:space="preserve"> </w:t>
      </w:r>
      <w:r w:rsidR="00596605" w:rsidRPr="00FD6CBA">
        <w:rPr>
          <w:rFonts w:cs="Times New Roman"/>
          <w:sz w:val="24"/>
          <w:szCs w:val="24"/>
        </w:rPr>
        <w:t xml:space="preserve">disbursed to </w:t>
      </w:r>
      <w:r w:rsidR="001C01CB">
        <w:rPr>
          <w:rFonts w:cs="Times New Roman"/>
          <w:sz w:val="24"/>
          <w:szCs w:val="24"/>
        </w:rPr>
        <w:t xml:space="preserve">LGAs implementing water sector development programs and projects </w:t>
      </w:r>
      <w:r w:rsidR="00596605" w:rsidRPr="00FD6CBA">
        <w:rPr>
          <w:rFonts w:cs="Times New Roman"/>
          <w:sz w:val="24"/>
          <w:szCs w:val="24"/>
        </w:rPr>
        <w:t>under the BRN.</w:t>
      </w:r>
    </w:p>
    <w:p w:rsidR="00B3649F" w:rsidRPr="00FD6CBA" w:rsidRDefault="00B3649F" w:rsidP="00B3649F">
      <w:pPr>
        <w:pStyle w:val="ListParagraph"/>
        <w:spacing w:after="0" w:line="240" w:lineRule="auto"/>
        <w:ind w:left="0"/>
        <w:mirrorIndents/>
        <w:jc w:val="both"/>
        <w:rPr>
          <w:rFonts w:cs="Times New Roman"/>
          <w:sz w:val="24"/>
          <w:szCs w:val="24"/>
        </w:rPr>
      </w:pPr>
    </w:p>
    <w:p w:rsidR="00B3649F" w:rsidRPr="00FD6CBA" w:rsidRDefault="00EB199B" w:rsidP="00B3649F">
      <w:pPr>
        <w:numPr>
          <w:ilvl w:val="0"/>
          <w:numId w:val="30"/>
        </w:numPr>
        <w:tabs>
          <w:tab w:val="num" w:pos="720"/>
        </w:tabs>
        <w:spacing w:after="0" w:line="240" w:lineRule="auto"/>
        <w:ind w:left="0" w:firstLine="0"/>
        <w:contextualSpacing/>
        <w:mirrorIndents/>
        <w:jc w:val="both"/>
        <w:rPr>
          <w:rFonts w:cs="Times New Roman"/>
          <w:sz w:val="24"/>
          <w:szCs w:val="24"/>
        </w:rPr>
      </w:pPr>
      <w:r>
        <w:rPr>
          <w:rFonts w:cs="Times New Roman"/>
          <w:b/>
          <w:sz w:val="24"/>
          <w:szCs w:val="24"/>
        </w:rPr>
        <w:t>There is also l</w:t>
      </w:r>
      <w:r w:rsidR="00B3649F" w:rsidRPr="00946A70">
        <w:rPr>
          <w:rFonts w:cs="Times New Roman"/>
          <w:b/>
          <w:sz w:val="24"/>
          <w:szCs w:val="24"/>
        </w:rPr>
        <w:t xml:space="preserve">imited attention to allocations for </w:t>
      </w:r>
      <w:r w:rsidR="00B3649F">
        <w:rPr>
          <w:rFonts w:cs="Times New Roman"/>
          <w:b/>
          <w:sz w:val="24"/>
          <w:szCs w:val="24"/>
        </w:rPr>
        <w:t xml:space="preserve">infrastructure </w:t>
      </w:r>
      <w:r w:rsidR="00B3649F" w:rsidRPr="00946A70">
        <w:rPr>
          <w:rFonts w:cs="Times New Roman"/>
          <w:b/>
          <w:sz w:val="24"/>
          <w:szCs w:val="24"/>
        </w:rPr>
        <w:t>maintenance</w:t>
      </w:r>
      <w:r w:rsidR="000C2496">
        <w:rPr>
          <w:rFonts w:cs="Times New Roman"/>
          <w:sz w:val="24"/>
          <w:szCs w:val="24"/>
        </w:rPr>
        <w:t>. The</w:t>
      </w:r>
      <w:r w:rsidR="00B3649F">
        <w:rPr>
          <w:rFonts w:cs="Times New Roman"/>
          <w:sz w:val="24"/>
          <w:szCs w:val="24"/>
        </w:rPr>
        <w:t xml:space="preserve"> </w:t>
      </w:r>
      <w:r w:rsidR="000C2496">
        <w:rPr>
          <w:rFonts w:cs="Times New Roman"/>
          <w:sz w:val="24"/>
          <w:szCs w:val="24"/>
        </w:rPr>
        <w:t>i</w:t>
      </w:r>
      <w:r w:rsidR="00B3649F" w:rsidRPr="00FD6CBA">
        <w:rPr>
          <w:rFonts w:cs="Times New Roman"/>
          <w:sz w:val="24"/>
          <w:szCs w:val="24"/>
        </w:rPr>
        <w:t xml:space="preserve">nadequate budget allocation for the maintenance of sector facilities is another area which requires immediate improvement. The maintenance budget allocation remains low at 0.2 percent of the total sector budget in 2013/14. Whereas construction of new infrastructure is critical, maintenance of existing facilities is essential to ensure existing facilities remain functional. This has been articulated in the BRN but not backed with finance in the budget. </w:t>
      </w:r>
    </w:p>
    <w:p w:rsidR="00B3649F" w:rsidRPr="00FD6CBA" w:rsidRDefault="00B3649F" w:rsidP="00B3649F">
      <w:pPr>
        <w:pStyle w:val="ListParagraph"/>
        <w:spacing w:after="0" w:line="240" w:lineRule="auto"/>
        <w:ind w:left="0"/>
        <w:mirrorIndents/>
        <w:jc w:val="both"/>
        <w:rPr>
          <w:rFonts w:cs="Times New Roman"/>
          <w:b/>
          <w:sz w:val="24"/>
          <w:szCs w:val="24"/>
        </w:rPr>
      </w:pPr>
    </w:p>
    <w:p w:rsidR="00B3649F" w:rsidRPr="00FD6CBA" w:rsidRDefault="00B3649F" w:rsidP="00B3649F">
      <w:pPr>
        <w:pStyle w:val="ListParagraph"/>
        <w:numPr>
          <w:ilvl w:val="0"/>
          <w:numId w:val="14"/>
        </w:numPr>
        <w:spacing w:after="0" w:line="240" w:lineRule="auto"/>
        <w:ind w:left="0" w:firstLine="0"/>
        <w:mirrorIndents/>
        <w:jc w:val="both"/>
        <w:rPr>
          <w:rFonts w:cs="Times New Roman"/>
          <w:b/>
          <w:sz w:val="24"/>
          <w:szCs w:val="24"/>
        </w:rPr>
      </w:pPr>
      <w:r w:rsidRPr="00FD6CBA">
        <w:rPr>
          <w:rFonts w:cs="Times New Roman"/>
          <w:b/>
          <w:sz w:val="24"/>
          <w:szCs w:val="24"/>
        </w:rPr>
        <w:t>Agriculture</w:t>
      </w:r>
    </w:p>
    <w:p w:rsidR="00B3649F" w:rsidRDefault="00B3649F" w:rsidP="00B3649F">
      <w:pPr>
        <w:spacing w:after="0" w:line="240" w:lineRule="auto"/>
        <w:contextualSpacing/>
        <w:mirrorIndents/>
        <w:jc w:val="both"/>
        <w:rPr>
          <w:rFonts w:cstheme="minorHAnsi"/>
          <w:sz w:val="24"/>
          <w:szCs w:val="24"/>
        </w:rPr>
      </w:pPr>
    </w:p>
    <w:p w:rsidR="00B3649F" w:rsidRDefault="00B3649F" w:rsidP="00B3649F">
      <w:pPr>
        <w:spacing w:after="0" w:line="240" w:lineRule="auto"/>
        <w:contextualSpacing/>
        <w:mirrorIndents/>
        <w:jc w:val="both"/>
        <w:rPr>
          <w:rFonts w:cstheme="minorHAnsi"/>
          <w:i/>
          <w:sz w:val="24"/>
          <w:szCs w:val="24"/>
        </w:rPr>
      </w:pPr>
      <w:r w:rsidRPr="00FD6CBA">
        <w:rPr>
          <w:rFonts w:cstheme="minorHAnsi"/>
          <w:i/>
          <w:sz w:val="24"/>
          <w:szCs w:val="24"/>
        </w:rPr>
        <w:t xml:space="preserve">2012/13 </w:t>
      </w:r>
      <w:r>
        <w:rPr>
          <w:rFonts w:cstheme="minorHAnsi"/>
          <w:i/>
          <w:sz w:val="24"/>
          <w:szCs w:val="24"/>
        </w:rPr>
        <w:t>a</w:t>
      </w:r>
      <w:r w:rsidRPr="00FD6CBA">
        <w:rPr>
          <w:rFonts w:cstheme="minorHAnsi"/>
          <w:i/>
          <w:sz w:val="24"/>
          <w:szCs w:val="24"/>
        </w:rPr>
        <w:t xml:space="preserve">ctual </w:t>
      </w:r>
      <w:r>
        <w:rPr>
          <w:rFonts w:cstheme="minorHAnsi"/>
          <w:i/>
          <w:sz w:val="24"/>
          <w:szCs w:val="24"/>
        </w:rPr>
        <w:t>e</w:t>
      </w:r>
      <w:r w:rsidRPr="00FD6CBA">
        <w:rPr>
          <w:rFonts w:cstheme="minorHAnsi"/>
          <w:i/>
          <w:sz w:val="24"/>
          <w:szCs w:val="24"/>
        </w:rPr>
        <w:t>xpenditure</w:t>
      </w:r>
    </w:p>
    <w:p w:rsidR="00B3649F" w:rsidRPr="00FD6CBA" w:rsidRDefault="00B3649F" w:rsidP="00B3649F">
      <w:pPr>
        <w:spacing w:after="0" w:line="240" w:lineRule="auto"/>
        <w:contextualSpacing/>
        <w:mirrorIndents/>
        <w:jc w:val="both"/>
        <w:rPr>
          <w:rFonts w:cstheme="minorHAnsi"/>
          <w:sz w:val="24"/>
          <w:szCs w:val="24"/>
        </w:rPr>
      </w:pPr>
    </w:p>
    <w:p w:rsidR="00B3649F" w:rsidRPr="00DB339A" w:rsidRDefault="000C2496" w:rsidP="00B3649F">
      <w:pPr>
        <w:numPr>
          <w:ilvl w:val="0"/>
          <w:numId w:val="30"/>
        </w:numPr>
        <w:tabs>
          <w:tab w:val="num" w:pos="720"/>
        </w:tabs>
        <w:spacing w:after="0" w:line="240" w:lineRule="auto"/>
        <w:ind w:left="0" w:firstLine="0"/>
        <w:contextualSpacing/>
        <w:mirrorIndents/>
        <w:jc w:val="both"/>
        <w:rPr>
          <w:rFonts w:cstheme="minorHAnsi"/>
          <w:sz w:val="24"/>
          <w:szCs w:val="24"/>
        </w:rPr>
      </w:pPr>
      <w:r>
        <w:rPr>
          <w:rFonts w:cstheme="minorHAnsi"/>
          <w:b/>
          <w:sz w:val="24"/>
          <w:szCs w:val="24"/>
        </w:rPr>
        <w:t>There have been s</w:t>
      </w:r>
      <w:r w:rsidR="00B3649F" w:rsidRPr="00DB339A">
        <w:rPr>
          <w:rFonts w:cstheme="minorHAnsi"/>
          <w:b/>
          <w:sz w:val="24"/>
          <w:szCs w:val="24"/>
        </w:rPr>
        <w:t>ignificant</w:t>
      </w:r>
      <w:r>
        <w:rPr>
          <w:rFonts w:cstheme="minorHAnsi"/>
          <w:b/>
          <w:sz w:val="24"/>
          <w:szCs w:val="24"/>
        </w:rPr>
        <w:t>ly</w:t>
      </w:r>
      <w:r w:rsidR="00B3649F" w:rsidRPr="00DB339A">
        <w:rPr>
          <w:rFonts w:cstheme="minorHAnsi"/>
          <w:b/>
          <w:sz w:val="24"/>
          <w:szCs w:val="24"/>
        </w:rPr>
        <w:t xml:space="preserve"> low</w:t>
      </w:r>
      <w:r w:rsidR="00EB46BA">
        <w:rPr>
          <w:rFonts w:cstheme="minorHAnsi"/>
          <w:b/>
          <w:sz w:val="24"/>
          <w:szCs w:val="24"/>
        </w:rPr>
        <w:t>er</w:t>
      </w:r>
      <w:r w:rsidR="00B3649F" w:rsidRPr="00DB339A">
        <w:rPr>
          <w:rFonts w:cstheme="minorHAnsi"/>
          <w:b/>
          <w:sz w:val="24"/>
          <w:szCs w:val="24"/>
        </w:rPr>
        <w:t xml:space="preserve"> levels of budget execution in 2012/13 </w:t>
      </w:r>
      <w:r w:rsidR="00787CF6">
        <w:rPr>
          <w:rFonts w:cstheme="minorHAnsi"/>
          <w:b/>
          <w:sz w:val="24"/>
          <w:szCs w:val="24"/>
        </w:rPr>
        <w:t>than</w:t>
      </w:r>
      <w:r>
        <w:rPr>
          <w:rFonts w:cstheme="minorHAnsi"/>
          <w:b/>
          <w:sz w:val="24"/>
          <w:szCs w:val="24"/>
        </w:rPr>
        <w:t xml:space="preserve"> the</w:t>
      </w:r>
      <w:r w:rsidR="00B3649F" w:rsidRPr="00DB339A">
        <w:rPr>
          <w:rFonts w:cstheme="minorHAnsi"/>
          <w:b/>
          <w:sz w:val="24"/>
          <w:szCs w:val="24"/>
        </w:rPr>
        <w:t xml:space="preserve"> </w:t>
      </w:r>
      <w:r w:rsidR="00DB339A" w:rsidRPr="00DB339A">
        <w:rPr>
          <w:rFonts w:cstheme="minorHAnsi"/>
          <w:b/>
          <w:sz w:val="24"/>
          <w:szCs w:val="24"/>
        </w:rPr>
        <w:t xml:space="preserve">past </w:t>
      </w:r>
      <w:r w:rsidR="00EB46BA">
        <w:rPr>
          <w:rFonts w:cstheme="minorHAnsi"/>
          <w:b/>
          <w:sz w:val="24"/>
          <w:szCs w:val="24"/>
        </w:rPr>
        <w:t>four</w:t>
      </w:r>
      <w:r w:rsidR="00B3649F" w:rsidRPr="00DB339A">
        <w:rPr>
          <w:rFonts w:cstheme="minorHAnsi"/>
          <w:b/>
          <w:sz w:val="24"/>
          <w:szCs w:val="24"/>
        </w:rPr>
        <w:t xml:space="preserve"> years</w:t>
      </w:r>
      <w:r w:rsidR="00B3649F" w:rsidRPr="00DB339A">
        <w:rPr>
          <w:rFonts w:cstheme="minorHAnsi"/>
          <w:sz w:val="24"/>
          <w:szCs w:val="24"/>
        </w:rPr>
        <w:t xml:space="preserve">. The executed agriculture budget for </w:t>
      </w:r>
      <w:r>
        <w:rPr>
          <w:rFonts w:cstheme="minorHAnsi"/>
          <w:sz w:val="24"/>
          <w:szCs w:val="24"/>
        </w:rPr>
        <w:t xml:space="preserve">the </w:t>
      </w:r>
      <w:r w:rsidR="00B3649F" w:rsidRPr="00DB339A">
        <w:rPr>
          <w:rFonts w:cstheme="minorHAnsi"/>
          <w:sz w:val="24"/>
          <w:szCs w:val="24"/>
        </w:rPr>
        <w:t xml:space="preserve">financial year 2012/2013 reached Tsh 431.7 billion, showing a worrying execution rate of 69.6 percent. This is a significant decrease compared to 78.5 percent </w:t>
      </w:r>
      <w:r w:rsidR="00DB339A" w:rsidRPr="00DB339A">
        <w:rPr>
          <w:rFonts w:cstheme="minorHAnsi"/>
          <w:sz w:val="24"/>
          <w:szCs w:val="24"/>
        </w:rPr>
        <w:t xml:space="preserve">in 2011/12 </w:t>
      </w:r>
      <w:r w:rsidR="00B3649F" w:rsidRPr="00DB339A">
        <w:rPr>
          <w:rFonts w:cstheme="minorHAnsi"/>
          <w:sz w:val="24"/>
          <w:szCs w:val="24"/>
        </w:rPr>
        <w:t xml:space="preserve">and the lowest execution rate the sector has experienced for the last four years. It poses a clear problem of budget credibility within the sector. </w:t>
      </w:r>
      <w:r w:rsidR="00DB339A" w:rsidRPr="00DB339A">
        <w:rPr>
          <w:rFonts w:cstheme="minorHAnsi"/>
          <w:sz w:val="24"/>
          <w:szCs w:val="24"/>
        </w:rPr>
        <w:t xml:space="preserve">Low release of budgeted funds, at 70 percent, mainly contributed to low execution rate in the sector. As a result it translated </w:t>
      </w:r>
      <w:r w:rsidR="00DB339A" w:rsidRPr="00DB339A">
        <w:rPr>
          <w:sz w:val="24"/>
          <w:szCs w:val="24"/>
        </w:rPr>
        <w:t>into failure to pay farmers supplying grain to the NFRA, failure to pay input dealers supplying seed and fertilizer to the input subsidy program, and many other delays.  Moreover, this contributed to higher input costs and lower incentives to expand production</w:t>
      </w:r>
      <w:r w:rsidR="00DB339A">
        <w:rPr>
          <w:sz w:val="24"/>
          <w:szCs w:val="24"/>
        </w:rPr>
        <w:t>.</w:t>
      </w:r>
    </w:p>
    <w:p w:rsidR="00DB339A" w:rsidRPr="00DB339A" w:rsidRDefault="00DB339A" w:rsidP="00DB339A">
      <w:pPr>
        <w:spacing w:after="0" w:line="240" w:lineRule="auto"/>
        <w:contextualSpacing/>
        <w:mirrorIndents/>
        <w:jc w:val="both"/>
        <w:rPr>
          <w:rFonts w:cstheme="minorHAnsi"/>
          <w:sz w:val="24"/>
          <w:szCs w:val="24"/>
        </w:rPr>
      </w:pPr>
    </w:p>
    <w:p w:rsidR="00B3649F" w:rsidRPr="00FD6CBA" w:rsidRDefault="00B3649F" w:rsidP="00B3649F">
      <w:pPr>
        <w:numPr>
          <w:ilvl w:val="0"/>
          <w:numId w:val="30"/>
        </w:numPr>
        <w:tabs>
          <w:tab w:val="num" w:pos="720"/>
        </w:tabs>
        <w:spacing w:after="0" w:line="240" w:lineRule="auto"/>
        <w:ind w:left="0" w:firstLine="0"/>
        <w:contextualSpacing/>
        <w:mirrorIndents/>
        <w:jc w:val="both"/>
        <w:rPr>
          <w:rFonts w:cstheme="minorHAnsi"/>
          <w:sz w:val="24"/>
          <w:szCs w:val="24"/>
        </w:rPr>
      </w:pPr>
      <w:r>
        <w:rPr>
          <w:rFonts w:cstheme="minorHAnsi"/>
          <w:b/>
          <w:sz w:val="24"/>
          <w:szCs w:val="24"/>
        </w:rPr>
        <w:t>But there is an i</w:t>
      </w:r>
      <w:r w:rsidRPr="006866EA">
        <w:rPr>
          <w:rFonts w:cstheme="minorHAnsi"/>
          <w:b/>
          <w:sz w:val="24"/>
          <w:szCs w:val="24"/>
        </w:rPr>
        <w:t>ncreased absorption capacity</w:t>
      </w:r>
      <w:r>
        <w:rPr>
          <w:rFonts w:cstheme="minorHAnsi"/>
          <w:sz w:val="24"/>
          <w:szCs w:val="24"/>
        </w:rPr>
        <w:t xml:space="preserve">: </w:t>
      </w:r>
      <w:r w:rsidRPr="00FD6CBA">
        <w:rPr>
          <w:rFonts w:cstheme="minorHAnsi"/>
          <w:sz w:val="24"/>
          <w:szCs w:val="24"/>
        </w:rPr>
        <w:t>On a more positive note, the utilization rate of funds received is encouraging with nearly 100 percent of funds received by MDAs and LGAs being spent in 2012/13. This is an improvement compared to previous years where significant amounts of resources were carried over to subsequent years. This is particularly observed at LGA level, where allocations have been reduced, and as a consequence of resource scarcity, execution ratios are very good.</w:t>
      </w:r>
    </w:p>
    <w:p w:rsidR="00B3649F" w:rsidRPr="00FD6CBA" w:rsidRDefault="00B3649F" w:rsidP="00B3649F">
      <w:pPr>
        <w:spacing w:after="0" w:line="240" w:lineRule="auto"/>
        <w:mirrorIndents/>
        <w:jc w:val="both"/>
        <w:rPr>
          <w:rFonts w:cstheme="minorHAnsi"/>
          <w:sz w:val="24"/>
          <w:szCs w:val="24"/>
        </w:rPr>
      </w:pPr>
    </w:p>
    <w:p w:rsidR="00B3649F" w:rsidRPr="009C424A" w:rsidRDefault="000C2496" w:rsidP="009C424A">
      <w:pPr>
        <w:numPr>
          <w:ilvl w:val="0"/>
          <w:numId w:val="30"/>
        </w:numPr>
        <w:tabs>
          <w:tab w:val="num" w:pos="720"/>
        </w:tabs>
        <w:spacing w:after="0" w:line="240" w:lineRule="auto"/>
        <w:ind w:left="0" w:firstLine="0"/>
        <w:contextualSpacing/>
        <w:mirrorIndents/>
        <w:jc w:val="both"/>
        <w:rPr>
          <w:rFonts w:cstheme="minorHAnsi"/>
          <w:sz w:val="24"/>
          <w:szCs w:val="24"/>
        </w:rPr>
      </w:pPr>
      <w:r>
        <w:rPr>
          <w:rFonts w:cstheme="minorHAnsi"/>
          <w:b/>
          <w:sz w:val="24"/>
          <w:szCs w:val="24"/>
        </w:rPr>
        <w:t>The i</w:t>
      </w:r>
      <w:r w:rsidR="00B3649F" w:rsidRPr="006866EA">
        <w:rPr>
          <w:rFonts w:cstheme="minorHAnsi"/>
          <w:b/>
          <w:sz w:val="24"/>
          <w:szCs w:val="24"/>
        </w:rPr>
        <w:t>ncr</w:t>
      </w:r>
      <w:r w:rsidR="009C424A">
        <w:rPr>
          <w:rFonts w:cstheme="minorHAnsi"/>
          <w:b/>
          <w:sz w:val="24"/>
          <w:szCs w:val="24"/>
        </w:rPr>
        <w:t xml:space="preserve">eased number </w:t>
      </w:r>
      <w:r>
        <w:rPr>
          <w:rFonts w:cstheme="minorHAnsi"/>
          <w:b/>
          <w:sz w:val="24"/>
          <w:szCs w:val="24"/>
        </w:rPr>
        <w:t xml:space="preserve">of </w:t>
      </w:r>
      <w:r w:rsidR="009C424A">
        <w:rPr>
          <w:rFonts w:cstheme="minorHAnsi"/>
          <w:b/>
          <w:sz w:val="24"/>
          <w:szCs w:val="24"/>
        </w:rPr>
        <w:t xml:space="preserve">extension staff may </w:t>
      </w:r>
      <w:r w:rsidR="009C424A" w:rsidRPr="009C424A">
        <w:rPr>
          <w:b/>
          <w:sz w:val="24"/>
          <w:szCs w:val="24"/>
        </w:rPr>
        <w:t>be linked with a decline in the quality of service</w:t>
      </w:r>
      <w:r w:rsidR="009C424A">
        <w:rPr>
          <w:b/>
          <w:sz w:val="24"/>
          <w:szCs w:val="24"/>
        </w:rPr>
        <w:t>.</w:t>
      </w:r>
      <w:r w:rsidR="00B3649F">
        <w:rPr>
          <w:rFonts w:cstheme="minorHAnsi"/>
          <w:sz w:val="24"/>
          <w:szCs w:val="24"/>
        </w:rPr>
        <w:t xml:space="preserve"> </w:t>
      </w:r>
      <w:r w:rsidR="00B3649F" w:rsidRPr="00FD6CBA">
        <w:rPr>
          <w:rFonts w:cstheme="minorHAnsi"/>
          <w:sz w:val="24"/>
          <w:szCs w:val="24"/>
        </w:rPr>
        <w:t>The sector</w:t>
      </w:r>
      <w:r w:rsidR="008C1DC9">
        <w:rPr>
          <w:rFonts w:cstheme="minorHAnsi"/>
          <w:sz w:val="24"/>
          <w:szCs w:val="24"/>
        </w:rPr>
        <w:t xml:space="preserve"> </w:t>
      </w:r>
      <w:r w:rsidR="00B3649F" w:rsidRPr="00FD6CBA">
        <w:rPr>
          <w:rFonts w:cstheme="minorHAnsi"/>
          <w:sz w:val="24"/>
          <w:szCs w:val="24"/>
        </w:rPr>
        <w:t>hired an additional 3000 extension workers, tutors and researchers in 2012/13; this is reflected in the 12.1 percent increase of the 2013/14 wage bill. While hiring of additional extension officers, tutors and researchers is good, it will be important for this investment to be accompanied by supplemental funding for equipment, transportation and training.</w:t>
      </w:r>
      <w:r w:rsidR="009C424A">
        <w:rPr>
          <w:rFonts w:cstheme="minorHAnsi"/>
          <w:sz w:val="24"/>
          <w:szCs w:val="24"/>
        </w:rPr>
        <w:t xml:space="preserve"> </w:t>
      </w:r>
      <w:r w:rsidR="009C424A" w:rsidRPr="009C424A">
        <w:rPr>
          <w:rFonts w:cstheme="minorHAnsi"/>
          <w:sz w:val="24"/>
          <w:szCs w:val="24"/>
        </w:rPr>
        <w:t xml:space="preserve">At the moment </w:t>
      </w:r>
      <w:r w:rsidR="009C424A">
        <w:rPr>
          <w:rFonts w:cstheme="minorHAnsi"/>
          <w:sz w:val="24"/>
          <w:szCs w:val="24"/>
        </w:rPr>
        <w:t xml:space="preserve">the </w:t>
      </w:r>
      <w:r w:rsidR="009C424A" w:rsidRPr="009C424A">
        <w:rPr>
          <w:sz w:val="24"/>
          <w:szCs w:val="24"/>
        </w:rPr>
        <w:t>increase</w:t>
      </w:r>
      <w:r w:rsidR="009C424A">
        <w:rPr>
          <w:sz w:val="24"/>
          <w:szCs w:val="24"/>
        </w:rPr>
        <w:t>d budget for hiring more agriculture staff is not accompanied by increased non-salary (</w:t>
      </w:r>
      <w:r w:rsidR="009C424A" w:rsidRPr="009C424A">
        <w:rPr>
          <w:sz w:val="24"/>
          <w:szCs w:val="24"/>
        </w:rPr>
        <w:t>operational</w:t>
      </w:r>
      <w:r w:rsidR="009C424A">
        <w:rPr>
          <w:sz w:val="24"/>
          <w:szCs w:val="24"/>
        </w:rPr>
        <w:t>)</w:t>
      </w:r>
      <w:r w:rsidR="009C424A" w:rsidRPr="009C424A">
        <w:rPr>
          <w:sz w:val="24"/>
          <w:szCs w:val="24"/>
        </w:rPr>
        <w:t xml:space="preserve"> budget. And there may well be a continuing decline in </w:t>
      </w:r>
      <w:r w:rsidR="009C424A">
        <w:rPr>
          <w:sz w:val="24"/>
          <w:szCs w:val="24"/>
        </w:rPr>
        <w:t xml:space="preserve">non-salary </w:t>
      </w:r>
      <w:r w:rsidR="009C424A" w:rsidRPr="009C424A">
        <w:rPr>
          <w:sz w:val="24"/>
          <w:szCs w:val="24"/>
        </w:rPr>
        <w:t xml:space="preserve">budgets for extension in the future as the ASDP budgets for </w:t>
      </w:r>
      <w:r w:rsidR="009C424A">
        <w:rPr>
          <w:sz w:val="24"/>
          <w:szCs w:val="24"/>
        </w:rPr>
        <w:t>LGAs declines.</w:t>
      </w:r>
    </w:p>
    <w:p w:rsidR="00B3649F" w:rsidRDefault="00B3649F" w:rsidP="00B3649F">
      <w:pPr>
        <w:spacing w:after="0" w:line="240" w:lineRule="auto"/>
        <w:mirrorIndents/>
        <w:jc w:val="both"/>
        <w:rPr>
          <w:rFonts w:cstheme="minorHAnsi"/>
          <w:i/>
          <w:sz w:val="24"/>
          <w:szCs w:val="24"/>
        </w:rPr>
      </w:pPr>
    </w:p>
    <w:p w:rsidR="00B3649F" w:rsidRPr="000502A7" w:rsidRDefault="00B3649F" w:rsidP="00B3649F">
      <w:pPr>
        <w:spacing w:after="0" w:line="240" w:lineRule="auto"/>
        <w:mirrorIndents/>
        <w:jc w:val="both"/>
        <w:rPr>
          <w:rFonts w:cstheme="minorHAnsi"/>
          <w:i/>
          <w:sz w:val="24"/>
          <w:szCs w:val="24"/>
        </w:rPr>
      </w:pPr>
      <w:r w:rsidRPr="000502A7">
        <w:rPr>
          <w:rFonts w:cstheme="minorHAnsi"/>
          <w:i/>
          <w:sz w:val="24"/>
          <w:szCs w:val="24"/>
        </w:rPr>
        <w:t>2013/14 approved budget</w:t>
      </w:r>
    </w:p>
    <w:p w:rsidR="00B3649F" w:rsidRPr="00FD6CBA" w:rsidRDefault="00B3649F" w:rsidP="00B3649F">
      <w:pPr>
        <w:spacing w:after="0" w:line="240" w:lineRule="auto"/>
        <w:contextualSpacing/>
        <w:mirrorIndents/>
        <w:jc w:val="both"/>
        <w:rPr>
          <w:rFonts w:cstheme="minorHAnsi"/>
          <w:sz w:val="24"/>
          <w:szCs w:val="24"/>
        </w:rPr>
      </w:pPr>
    </w:p>
    <w:p w:rsidR="00B3649F" w:rsidRDefault="00675D78" w:rsidP="00675D78">
      <w:pPr>
        <w:numPr>
          <w:ilvl w:val="0"/>
          <w:numId w:val="30"/>
        </w:numPr>
        <w:tabs>
          <w:tab w:val="num" w:pos="720"/>
        </w:tabs>
        <w:spacing w:after="0" w:line="240" w:lineRule="auto"/>
        <w:ind w:left="0" w:firstLine="0"/>
        <w:contextualSpacing/>
        <w:mirrorIndents/>
        <w:jc w:val="both"/>
        <w:rPr>
          <w:rFonts w:cstheme="minorHAnsi"/>
          <w:sz w:val="24"/>
          <w:szCs w:val="24"/>
        </w:rPr>
      </w:pPr>
      <w:r w:rsidRPr="00675D78">
        <w:rPr>
          <w:rFonts w:cstheme="minorHAnsi"/>
          <w:b/>
          <w:sz w:val="24"/>
          <w:szCs w:val="24"/>
        </w:rPr>
        <w:t xml:space="preserve">Despite the agriculture sector being recognized as one of the priority sectors, its share in the total Government budget </w:t>
      </w:r>
      <w:r w:rsidR="008A6787">
        <w:rPr>
          <w:rFonts w:cstheme="minorHAnsi"/>
          <w:b/>
          <w:sz w:val="24"/>
          <w:szCs w:val="24"/>
        </w:rPr>
        <w:t>is projected to decline</w:t>
      </w:r>
      <w:r w:rsidRPr="00675D78">
        <w:rPr>
          <w:rFonts w:cstheme="minorHAnsi"/>
          <w:b/>
          <w:sz w:val="24"/>
          <w:szCs w:val="24"/>
        </w:rPr>
        <w:t>.</w:t>
      </w:r>
      <w:r w:rsidR="00B3649F" w:rsidRPr="00675D78">
        <w:rPr>
          <w:rFonts w:cstheme="minorHAnsi"/>
          <w:sz w:val="24"/>
          <w:szCs w:val="24"/>
        </w:rPr>
        <w:t xml:space="preserve"> The </w:t>
      </w:r>
      <w:r w:rsidR="00C83A09" w:rsidRPr="00675D78">
        <w:rPr>
          <w:rFonts w:cstheme="minorHAnsi"/>
          <w:sz w:val="24"/>
          <w:szCs w:val="24"/>
        </w:rPr>
        <w:t xml:space="preserve">share of agriculture sector budget in the total Government </w:t>
      </w:r>
      <w:r w:rsidR="008A6787">
        <w:rPr>
          <w:rFonts w:cstheme="minorHAnsi"/>
          <w:sz w:val="24"/>
          <w:szCs w:val="24"/>
        </w:rPr>
        <w:t xml:space="preserve">approved </w:t>
      </w:r>
      <w:r w:rsidR="00C83A09" w:rsidRPr="00675D78">
        <w:rPr>
          <w:rFonts w:cstheme="minorHAnsi"/>
          <w:sz w:val="24"/>
          <w:szCs w:val="24"/>
        </w:rPr>
        <w:t xml:space="preserve">budget </w:t>
      </w:r>
      <w:r w:rsidRPr="00675D78">
        <w:rPr>
          <w:rFonts w:cstheme="minorHAnsi"/>
          <w:sz w:val="24"/>
          <w:szCs w:val="24"/>
        </w:rPr>
        <w:t>is around 3</w:t>
      </w:r>
      <w:r w:rsidR="00C83A09" w:rsidRPr="00675D78">
        <w:rPr>
          <w:rFonts w:cstheme="minorHAnsi"/>
          <w:sz w:val="24"/>
          <w:szCs w:val="24"/>
        </w:rPr>
        <w:t xml:space="preserve"> percent in </w:t>
      </w:r>
      <w:r w:rsidR="00B3649F" w:rsidRPr="00675D78">
        <w:rPr>
          <w:rFonts w:cstheme="minorHAnsi"/>
          <w:sz w:val="24"/>
          <w:szCs w:val="24"/>
        </w:rPr>
        <w:t>2013/14</w:t>
      </w:r>
      <w:r w:rsidR="00C83A09" w:rsidRPr="00675D78">
        <w:rPr>
          <w:rFonts w:cstheme="minorHAnsi"/>
          <w:sz w:val="24"/>
          <w:szCs w:val="24"/>
        </w:rPr>
        <w:t xml:space="preserve">, </w:t>
      </w:r>
      <w:r w:rsidRPr="00675D78">
        <w:rPr>
          <w:rFonts w:cstheme="minorHAnsi"/>
          <w:sz w:val="24"/>
          <w:szCs w:val="24"/>
        </w:rPr>
        <w:t xml:space="preserve">down </w:t>
      </w:r>
      <w:r w:rsidR="00B3649F" w:rsidRPr="00675D78">
        <w:rPr>
          <w:rFonts w:cstheme="minorHAnsi"/>
          <w:sz w:val="24"/>
          <w:szCs w:val="24"/>
        </w:rPr>
        <w:t xml:space="preserve">from </w:t>
      </w:r>
      <w:r w:rsidR="00C83A09" w:rsidRPr="00675D78">
        <w:rPr>
          <w:rFonts w:cstheme="minorHAnsi"/>
          <w:sz w:val="24"/>
          <w:szCs w:val="24"/>
        </w:rPr>
        <w:t xml:space="preserve">4 percent in 2012/13. </w:t>
      </w:r>
      <w:r>
        <w:rPr>
          <w:rFonts w:cstheme="minorHAnsi"/>
          <w:sz w:val="24"/>
          <w:szCs w:val="24"/>
        </w:rPr>
        <w:t xml:space="preserve">Not only </w:t>
      </w:r>
      <w:r w:rsidR="000C2496">
        <w:rPr>
          <w:rFonts w:cstheme="minorHAnsi"/>
          <w:sz w:val="24"/>
          <w:szCs w:val="24"/>
        </w:rPr>
        <w:t xml:space="preserve">does the </w:t>
      </w:r>
      <w:r>
        <w:rPr>
          <w:rFonts w:cstheme="minorHAnsi"/>
          <w:sz w:val="24"/>
          <w:szCs w:val="24"/>
        </w:rPr>
        <w:t>agriculture sector budget decline as the share of total Government but it also declines in absolute terms, from Tsh 56</w:t>
      </w:r>
      <w:r w:rsidR="00E4064C">
        <w:rPr>
          <w:rFonts w:cstheme="minorHAnsi"/>
          <w:sz w:val="24"/>
          <w:szCs w:val="24"/>
        </w:rPr>
        <w:t>0</w:t>
      </w:r>
      <w:r>
        <w:rPr>
          <w:rFonts w:cstheme="minorHAnsi"/>
          <w:sz w:val="24"/>
          <w:szCs w:val="24"/>
        </w:rPr>
        <w:t xml:space="preserve"> billion to </w:t>
      </w:r>
      <w:r w:rsidR="00E4064C">
        <w:rPr>
          <w:rFonts w:cstheme="minorHAnsi"/>
          <w:sz w:val="24"/>
          <w:szCs w:val="24"/>
        </w:rPr>
        <w:t>Tsh 543 billion between 2012/13 and 2013/14.</w:t>
      </w:r>
    </w:p>
    <w:p w:rsidR="00675D78" w:rsidRPr="00675D78" w:rsidRDefault="00675D78" w:rsidP="00675D78">
      <w:pPr>
        <w:spacing w:after="0" w:line="240" w:lineRule="auto"/>
        <w:ind w:left="360"/>
        <w:contextualSpacing/>
        <w:mirrorIndents/>
        <w:jc w:val="both"/>
        <w:rPr>
          <w:rFonts w:cstheme="minorHAnsi"/>
          <w:sz w:val="24"/>
          <w:szCs w:val="24"/>
        </w:rPr>
      </w:pPr>
    </w:p>
    <w:p w:rsidR="00B3649F" w:rsidRDefault="000C2496" w:rsidP="00B3649F">
      <w:pPr>
        <w:numPr>
          <w:ilvl w:val="0"/>
          <w:numId w:val="30"/>
        </w:numPr>
        <w:tabs>
          <w:tab w:val="num" w:pos="720"/>
        </w:tabs>
        <w:spacing w:after="0" w:line="240" w:lineRule="auto"/>
        <w:ind w:left="0" w:firstLine="0"/>
        <w:contextualSpacing/>
        <w:mirrorIndents/>
        <w:jc w:val="both"/>
        <w:rPr>
          <w:rFonts w:cstheme="minorHAnsi"/>
          <w:sz w:val="24"/>
          <w:szCs w:val="24"/>
        </w:rPr>
      </w:pPr>
      <w:r>
        <w:rPr>
          <w:rFonts w:cstheme="minorHAnsi"/>
          <w:b/>
          <w:sz w:val="24"/>
          <w:szCs w:val="24"/>
        </w:rPr>
        <w:t>There are s</w:t>
      </w:r>
      <w:r w:rsidR="00B3649F" w:rsidRPr="00381815">
        <w:rPr>
          <w:rFonts w:cstheme="minorHAnsi"/>
          <w:b/>
          <w:sz w:val="24"/>
          <w:szCs w:val="24"/>
        </w:rPr>
        <w:t>table allocations for development spending</w:t>
      </w:r>
      <w:r w:rsidR="00B3649F">
        <w:rPr>
          <w:rFonts w:cstheme="minorHAnsi"/>
          <w:sz w:val="24"/>
          <w:szCs w:val="24"/>
        </w:rPr>
        <w:t xml:space="preserve">: </w:t>
      </w:r>
      <w:r w:rsidR="00B3649F" w:rsidRPr="00FD6CBA">
        <w:rPr>
          <w:rFonts w:cstheme="minorHAnsi"/>
          <w:sz w:val="24"/>
          <w:szCs w:val="24"/>
        </w:rPr>
        <w:t xml:space="preserve">The share of development expenditures remains stable compared to previous years although there is a continued dependency on foreign funding for development expenditures. Capital investments remain low, representing 12 percent of the overall agriculture budget and 27.3 percent of development expenditures, but shares have improved two years in a row.  However, the picture is different at the local level where capital spending is only 4.2 percent of allocations to regions and LGAs. </w:t>
      </w:r>
    </w:p>
    <w:p w:rsidR="00B3649F" w:rsidRPr="00FD6CBA" w:rsidRDefault="00B3649F" w:rsidP="00B3649F">
      <w:pPr>
        <w:spacing w:after="0" w:line="240" w:lineRule="auto"/>
        <w:contextualSpacing/>
        <w:mirrorIndents/>
        <w:jc w:val="both"/>
        <w:rPr>
          <w:rFonts w:cstheme="minorHAnsi"/>
          <w:sz w:val="24"/>
          <w:szCs w:val="24"/>
        </w:rPr>
      </w:pPr>
    </w:p>
    <w:p w:rsidR="00B3649F" w:rsidRPr="00DA378F" w:rsidRDefault="00B3649F" w:rsidP="00B3649F">
      <w:pPr>
        <w:numPr>
          <w:ilvl w:val="0"/>
          <w:numId w:val="30"/>
        </w:numPr>
        <w:tabs>
          <w:tab w:val="num" w:pos="720"/>
        </w:tabs>
        <w:spacing w:after="0" w:line="240" w:lineRule="auto"/>
        <w:ind w:left="0" w:firstLine="0"/>
        <w:contextualSpacing/>
        <w:mirrorIndents/>
        <w:jc w:val="both"/>
        <w:rPr>
          <w:rFonts w:cstheme="minorHAnsi"/>
          <w:sz w:val="24"/>
          <w:szCs w:val="24"/>
        </w:rPr>
      </w:pPr>
      <w:r w:rsidRPr="00DA378F">
        <w:rPr>
          <w:rFonts w:cstheme="minorHAnsi"/>
          <w:b/>
          <w:sz w:val="24"/>
          <w:szCs w:val="24"/>
        </w:rPr>
        <w:t>The agriculture budget reveals a shift of expenditure in favor of public goods</w:t>
      </w:r>
      <w:r w:rsidRPr="00DA378F">
        <w:rPr>
          <w:rFonts w:cstheme="minorHAnsi"/>
          <w:sz w:val="24"/>
          <w:szCs w:val="24"/>
        </w:rPr>
        <w:t>. However core public goods such as seeds breeding, policy and planning, plant health and protection, land use and planning, and animal disease control receive low priority. Nearly 50 percent of the sector budget is allocated to two items for subsidization of crop production and operation of the National Food Reserve Agency (NFRA)</w:t>
      </w:r>
      <w:r w:rsidR="00DA378F" w:rsidRPr="00DA378F">
        <w:rPr>
          <w:rFonts w:cstheme="minorHAnsi"/>
          <w:sz w:val="24"/>
          <w:szCs w:val="24"/>
        </w:rPr>
        <w:t>, including clearance of arrears of grain purchased in 2012/13 but not yet paid</w:t>
      </w:r>
      <w:r w:rsidRPr="00DA378F">
        <w:rPr>
          <w:rFonts w:cstheme="minorHAnsi"/>
          <w:sz w:val="24"/>
          <w:szCs w:val="24"/>
        </w:rPr>
        <w:t xml:space="preserve">, with possible risks for disrupting development of the grain market. To improve prioritization of sector strategies and MKUKUTA II, there should be a reduction on single items such as the NFRA. Priority should be given to other core public goods. Contrary to the decentralization policy, the share of LGA transfers of the sector budget decreased from 15.6 percent in 2012/13 to only 11.4 percent of </w:t>
      </w:r>
      <w:r w:rsidR="000C2496">
        <w:rPr>
          <w:rFonts w:cstheme="minorHAnsi"/>
          <w:sz w:val="24"/>
          <w:szCs w:val="24"/>
        </w:rPr>
        <w:t xml:space="preserve">the </w:t>
      </w:r>
      <w:r w:rsidRPr="00DA378F">
        <w:rPr>
          <w:rFonts w:cstheme="minorHAnsi"/>
          <w:sz w:val="24"/>
          <w:szCs w:val="24"/>
        </w:rPr>
        <w:t xml:space="preserve">sector budget in 2013/14. The decline is attributed to a decline in commitments to the ASDP Budget Fund as the program closes. </w:t>
      </w:r>
      <w:r w:rsidRPr="00DA378F">
        <w:rPr>
          <w:rFonts w:cstheme="minorHAnsi"/>
          <w:sz w:val="24"/>
          <w:szCs w:val="24"/>
        </w:rPr>
        <w:lastRenderedPageBreak/>
        <w:t>Despite this decline, ASDP still receives 10 percent of the sector budget, with SAGCOT receiving only 4 percent. The closure of ASDP will lead to uncertainties in future funding of sector investments particularly at the local level.  With the completion of the ASDP, it is paramount to ensure that transfers to LGA</w:t>
      </w:r>
      <w:r w:rsidR="000C2496">
        <w:rPr>
          <w:rFonts w:cstheme="minorHAnsi"/>
          <w:sz w:val="24"/>
          <w:szCs w:val="24"/>
        </w:rPr>
        <w:t>s</w:t>
      </w:r>
      <w:r w:rsidRPr="00DA378F">
        <w:rPr>
          <w:rFonts w:cstheme="minorHAnsi"/>
          <w:sz w:val="24"/>
          <w:szCs w:val="24"/>
        </w:rPr>
        <w:t xml:space="preserve"> are increased or restored to</w:t>
      </w:r>
      <w:r w:rsidR="000C2496">
        <w:rPr>
          <w:rFonts w:cstheme="minorHAnsi"/>
          <w:sz w:val="24"/>
          <w:szCs w:val="24"/>
        </w:rPr>
        <w:t xml:space="preserve"> the</w:t>
      </w:r>
      <w:r w:rsidRPr="00DA378F">
        <w:rPr>
          <w:rFonts w:cstheme="minorHAnsi"/>
          <w:sz w:val="24"/>
          <w:szCs w:val="24"/>
        </w:rPr>
        <w:t xml:space="preserve"> previous year’s levels to sustain critical investments at this level, in line with the decentralization policy.</w:t>
      </w:r>
    </w:p>
    <w:p w:rsidR="00B3649F" w:rsidRPr="00FD6CBA" w:rsidRDefault="00B3649F" w:rsidP="00B3649F">
      <w:pPr>
        <w:spacing w:after="0" w:line="240" w:lineRule="auto"/>
        <w:jc w:val="both"/>
        <w:rPr>
          <w:rFonts w:cstheme="minorHAnsi"/>
          <w:sz w:val="24"/>
          <w:szCs w:val="24"/>
        </w:rPr>
      </w:pPr>
    </w:p>
    <w:p w:rsidR="00B3649F" w:rsidRPr="00FD6CBA" w:rsidRDefault="00B3649F" w:rsidP="00B3649F">
      <w:pPr>
        <w:numPr>
          <w:ilvl w:val="0"/>
          <w:numId w:val="30"/>
        </w:numPr>
        <w:tabs>
          <w:tab w:val="num" w:pos="720"/>
        </w:tabs>
        <w:spacing w:after="0" w:line="240" w:lineRule="auto"/>
        <w:ind w:left="0" w:firstLine="0"/>
        <w:contextualSpacing/>
        <w:mirrorIndents/>
        <w:jc w:val="both"/>
        <w:rPr>
          <w:rFonts w:cstheme="minorHAnsi"/>
          <w:sz w:val="24"/>
          <w:szCs w:val="24"/>
        </w:rPr>
      </w:pPr>
      <w:r w:rsidRPr="000502A7">
        <w:rPr>
          <w:rFonts w:cstheme="minorHAnsi"/>
          <w:b/>
          <w:sz w:val="24"/>
          <w:szCs w:val="24"/>
        </w:rPr>
        <w:t>Future funding of the sector could be through the Big Results Now (BRN)</w:t>
      </w:r>
      <w:r w:rsidRPr="00FD6CBA">
        <w:rPr>
          <w:rFonts w:cstheme="minorHAnsi"/>
          <w:sz w:val="24"/>
          <w:szCs w:val="24"/>
        </w:rPr>
        <w:t xml:space="preserve"> initiative whose implementation starts in 2013/14. The BRN initiative will initially be implemented for two years with the initial budget of Tsh. </w:t>
      </w:r>
      <w:r w:rsidR="009951C9">
        <w:rPr>
          <w:rFonts w:cstheme="minorHAnsi"/>
          <w:sz w:val="24"/>
          <w:szCs w:val="24"/>
        </w:rPr>
        <w:t>1.78</w:t>
      </w:r>
      <w:r w:rsidRPr="00FD6CBA">
        <w:rPr>
          <w:rFonts w:cstheme="minorHAnsi"/>
          <w:sz w:val="24"/>
          <w:szCs w:val="24"/>
        </w:rPr>
        <w:t xml:space="preserve"> trillion to be financed by the Government</w:t>
      </w:r>
      <w:r w:rsidR="009951C9">
        <w:rPr>
          <w:rFonts w:cstheme="minorHAnsi"/>
          <w:sz w:val="24"/>
          <w:szCs w:val="24"/>
        </w:rPr>
        <w:t xml:space="preserve"> </w:t>
      </w:r>
      <w:r w:rsidR="00B535EE">
        <w:rPr>
          <w:rFonts w:cstheme="minorHAnsi"/>
          <w:sz w:val="24"/>
          <w:szCs w:val="24"/>
        </w:rPr>
        <w:t xml:space="preserve">and </w:t>
      </w:r>
      <w:r w:rsidR="00B535EE" w:rsidRPr="00FD6CBA">
        <w:rPr>
          <w:rFonts w:cstheme="minorHAnsi"/>
          <w:sz w:val="24"/>
          <w:szCs w:val="24"/>
        </w:rPr>
        <w:t>DPs</w:t>
      </w:r>
      <w:r w:rsidR="009951C9">
        <w:rPr>
          <w:rFonts w:cstheme="minorHAnsi"/>
          <w:sz w:val="24"/>
          <w:szCs w:val="24"/>
        </w:rPr>
        <w:t>.</w:t>
      </w:r>
      <w:r w:rsidRPr="00FD6CBA">
        <w:rPr>
          <w:rFonts w:cstheme="minorHAnsi"/>
          <w:sz w:val="24"/>
          <w:szCs w:val="24"/>
        </w:rPr>
        <w:t xml:space="preserve"> However, this analysis could not identify specific funds tagged to this program for this financial year. The level and modality of funding BRN activities are not yet clear for both national and local levels. </w:t>
      </w:r>
    </w:p>
    <w:p w:rsidR="00B3649F" w:rsidRPr="00FD6CBA" w:rsidRDefault="00B3649F" w:rsidP="00B3649F">
      <w:pPr>
        <w:spacing w:after="0" w:line="240" w:lineRule="auto"/>
        <w:contextualSpacing/>
        <w:mirrorIndents/>
        <w:jc w:val="both"/>
        <w:rPr>
          <w:rFonts w:cstheme="minorHAnsi"/>
          <w:sz w:val="24"/>
          <w:szCs w:val="24"/>
        </w:rPr>
      </w:pPr>
    </w:p>
    <w:p w:rsidR="00B3649F" w:rsidRPr="00FD6CBA" w:rsidRDefault="00B3649F" w:rsidP="00B3649F">
      <w:pPr>
        <w:pStyle w:val="ListParagraph"/>
        <w:numPr>
          <w:ilvl w:val="0"/>
          <w:numId w:val="14"/>
        </w:numPr>
        <w:spacing w:after="0" w:line="240" w:lineRule="auto"/>
        <w:ind w:left="0" w:firstLine="0"/>
        <w:mirrorIndents/>
        <w:jc w:val="both"/>
        <w:rPr>
          <w:rFonts w:cs="Times New Roman"/>
          <w:b/>
          <w:sz w:val="24"/>
          <w:szCs w:val="24"/>
        </w:rPr>
      </w:pPr>
      <w:r w:rsidRPr="00FD6CBA">
        <w:rPr>
          <w:rFonts w:cs="Times New Roman"/>
          <w:b/>
          <w:sz w:val="24"/>
          <w:szCs w:val="24"/>
        </w:rPr>
        <w:t>Transport</w:t>
      </w:r>
    </w:p>
    <w:p w:rsidR="00B3649F" w:rsidRDefault="00B3649F" w:rsidP="00B3649F">
      <w:pPr>
        <w:pStyle w:val="ListParagraph"/>
        <w:spacing w:after="0" w:line="240" w:lineRule="auto"/>
        <w:ind w:left="0"/>
        <w:mirrorIndents/>
        <w:jc w:val="both"/>
        <w:rPr>
          <w:rFonts w:cs="Times New Roman"/>
          <w:sz w:val="24"/>
          <w:szCs w:val="24"/>
        </w:rPr>
      </w:pPr>
    </w:p>
    <w:p w:rsidR="00B3649F" w:rsidRPr="00544D6A" w:rsidRDefault="00B3649F" w:rsidP="00B3649F">
      <w:pPr>
        <w:spacing w:after="0" w:line="240" w:lineRule="auto"/>
        <w:jc w:val="both"/>
        <w:rPr>
          <w:rFonts w:cstheme="minorHAnsi"/>
          <w:i/>
          <w:sz w:val="24"/>
          <w:szCs w:val="24"/>
        </w:rPr>
      </w:pPr>
      <w:r w:rsidRPr="00544D6A">
        <w:rPr>
          <w:rFonts w:cstheme="minorHAnsi"/>
          <w:i/>
          <w:sz w:val="24"/>
          <w:szCs w:val="24"/>
        </w:rPr>
        <w:t xml:space="preserve">2012/13   Actual expenditure </w:t>
      </w:r>
    </w:p>
    <w:p w:rsidR="00B3649F" w:rsidRPr="00B71357" w:rsidRDefault="00B3649F" w:rsidP="00B3649F">
      <w:pPr>
        <w:spacing w:after="0" w:line="240" w:lineRule="auto"/>
        <w:jc w:val="both"/>
        <w:rPr>
          <w:rFonts w:cstheme="minorHAnsi"/>
          <w:sz w:val="24"/>
          <w:szCs w:val="24"/>
        </w:rPr>
      </w:pPr>
    </w:p>
    <w:p w:rsidR="00B3649F" w:rsidRPr="00B71357" w:rsidRDefault="00FF0A14" w:rsidP="00B3649F">
      <w:pPr>
        <w:numPr>
          <w:ilvl w:val="0"/>
          <w:numId w:val="30"/>
        </w:numPr>
        <w:tabs>
          <w:tab w:val="num" w:pos="720"/>
        </w:tabs>
        <w:spacing w:after="0" w:line="240" w:lineRule="auto"/>
        <w:ind w:left="0" w:firstLine="0"/>
        <w:contextualSpacing/>
        <w:mirrorIndents/>
        <w:jc w:val="both"/>
        <w:rPr>
          <w:rFonts w:cstheme="minorHAnsi"/>
          <w:sz w:val="24"/>
          <w:szCs w:val="24"/>
        </w:rPr>
      </w:pPr>
      <w:r>
        <w:rPr>
          <w:rFonts w:cstheme="minorHAnsi"/>
          <w:b/>
          <w:sz w:val="24"/>
          <w:szCs w:val="24"/>
        </w:rPr>
        <w:t>There was o</w:t>
      </w:r>
      <w:r w:rsidR="00B3649F" w:rsidRPr="00B71357">
        <w:rPr>
          <w:rFonts w:cstheme="minorHAnsi"/>
          <w:b/>
          <w:sz w:val="24"/>
          <w:szCs w:val="24"/>
        </w:rPr>
        <w:t>ver spending of</w:t>
      </w:r>
      <w:r w:rsidR="000A1C0D">
        <w:rPr>
          <w:rFonts w:cstheme="minorHAnsi"/>
          <w:b/>
          <w:sz w:val="24"/>
          <w:szCs w:val="24"/>
        </w:rPr>
        <w:t xml:space="preserve"> the</w:t>
      </w:r>
      <w:r w:rsidR="00B3649F" w:rsidRPr="00B71357">
        <w:rPr>
          <w:rFonts w:cstheme="minorHAnsi"/>
          <w:b/>
          <w:sz w:val="24"/>
          <w:szCs w:val="24"/>
        </w:rPr>
        <w:t xml:space="preserve"> development budget but</w:t>
      </w:r>
      <w:r>
        <w:rPr>
          <w:rFonts w:cstheme="minorHAnsi"/>
          <w:b/>
          <w:sz w:val="24"/>
          <w:szCs w:val="24"/>
        </w:rPr>
        <w:t xml:space="preserve"> this was</w:t>
      </w:r>
      <w:r w:rsidR="00B3649F" w:rsidRPr="00B71357">
        <w:rPr>
          <w:rFonts w:cstheme="minorHAnsi"/>
          <w:b/>
          <w:sz w:val="24"/>
          <w:szCs w:val="24"/>
        </w:rPr>
        <w:t xml:space="preserve"> linked to </w:t>
      </w:r>
      <w:r>
        <w:rPr>
          <w:rFonts w:cstheme="minorHAnsi"/>
          <w:b/>
          <w:sz w:val="24"/>
          <w:szCs w:val="24"/>
        </w:rPr>
        <w:t xml:space="preserve">the </w:t>
      </w:r>
      <w:r w:rsidR="00B3649F" w:rsidRPr="00B71357">
        <w:rPr>
          <w:rFonts w:cstheme="minorHAnsi"/>
          <w:b/>
          <w:sz w:val="24"/>
          <w:szCs w:val="24"/>
        </w:rPr>
        <w:t>clearance of arrears</w:t>
      </w:r>
      <w:r w:rsidR="00B3649F" w:rsidRPr="00B71357">
        <w:rPr>
          <w:rFonts w:cstheme="minorHAnsi"/>
          <w:sz w:val="24"/>
          <w:szCs w:val="24"/>
        </w:rPr>
        <w:t xml:space="preserve">: Actual development expenditures for trunk and regional roads under TANROADS </w:t>
      </w:r>
      <w:r w:rsidR="00B3649F">
        <w:rPr>
          <w:rFonts w:cstheme="minorHAnsi"/>
          <w:sz w:val="24"/>
          <w:szCs w:val="24"/>
        </w:rPr>
        <w:t>exceeded the approved budget by around 50 percent, equivalent to about Tsh 350 billion. It is under stood that additional fund</w:t>
      </w:r>
      <w:r w:rsidR="000A1C0D">
        <w:rPr>
          <w:rFonts w:cstheme="minorHAnsi"/>
          <w:sz w:val="24"/>
          <w:szCs w:val="24"/>
        </w:rPr>
        <w:t>s</w:t>
      </w:r>
      <w:r w:rsidR="00B3649F">
        <w:rPr>
          <w:rFonts w:cstheme="minorHAnsi"/>
          <w:sz w:val="24"/>
          <w:szCs w:val="24"/>
        </w:rPr>
        <w:t xml:space="preserve"> were reallocated to the Ministry of Works for clearance of arrears in TANROAD but the exact amount of funds disbursed is not clearly shown. </w:t>
      </w:r>
      <w:r w:rsidR="00B3649F" w:rsidRPr="00B71357">
        <w:rPr>
          <w:rFonts w:cstheme="minorHAnsi"/>
          <w:sz w:val="24"/>
          <w:szCs w:val="24"/>
        </w:rPr>
        <w:t>It is, however, not less than Tsh 352 billion, which would be the imputed amount used for clearance of arrears assuming a full utilization of the approved budget for regular project related expenditures.</w:t>
      </w:r>
    </w:p>
    <w:p w:rsidR="00B3649F" w:rsidRDefault="00B3649F" w:rsidP="00B3649F">
      <w:pPr>
        <w:spacing w:after="0" w:line="240" w:lineRule="auto"/>
        <w:jc w:val="both"/>
        <w:rPr>
          <w:rFonts w:cstheme="minorHAnsi"/>
          <w:sz w:val="24"/>
          <w:szCs w:val="24"/>
        </w:rPr>
      </w:pPr>
    </w:p>
    <w:p w:rsidR="00B3649F" w:rsidRPr="00544D6A" w:rsidRDefault="00B3649F" w:rsidP="00B3649F">
      <w:pPr>
        <w:numPr>
          <w:ilvl w:val="0"/>
          <w:numId w:val="30"/>
        </w:numPr>
        <w:tabs>
          <w:tab w:val="num" w:pos="720"/>
        </w:tabs>
        <w:spacing w:after="0" w:line="240" w:lineRule="auto"/>
        <w:ind w:left="0" w:firstLine="0"/>
        <w:contextualSpacing/>
        <w:mirrorIndents/>
        <w:jc w:val="both"/>
        <w:rPr>
          <w:rFonts w:cstheme="minorHAnsi"/>
          <w:b/>
          <w:sz w:val="24"/>
          <w:szCs w:val="24"/>
        </w:rPr>
      </w:pPr>
      <w:r w:rsidRPr="00544D6A">
        <w:rPr>
          <w:rFonts w:cstheme="minorHAnsi"/>
          <w:b/>
          <w:sz w:val="24"/>
          <w:szCs w:val="24"/>
        </w:rPr>
        <w:t xml:space="preserve">The outstanding payments </w:t>
      </w:r>
      <w:r w:rsidR="000A1C0D">
        <w:rPr>
          <w:rFonts w:cstheme="minorHAnsi"/>
          <w:b/>
          <w:sz w:val="24"/>
          <w:szCs w:val="24"/>
        </w:rPr>
        <w:t>at</w:t>
      </w:r>
      <w:r w:rsidRPr="00544D6A">
        <w:rPr>
          <w:rFonts w:cstheme="minorHAnsi"/>
          <w:b/>
          <w:sz w:val="24"/>
          <w:szCs w:val="24"/>
        </w:rPr>
        <w:t xml:space="preserve"> </w:t>
      </w:r>
      <w:r w:rsidR="000A1C0D">
        <w:rPr>
          <w:rFonts w:cstheme="minorHAnsi"/>
          <w:b/>
          <w:sz w:val="24"/>
          <w:szCs w:val="24"/>
        </w:rPr>
        <w:t xml:space="preserve">the </w:t>
      </w:r>
      <w:r w:rsidRPr="00544D6A">
        <w:rPr>
          <w:rFonts w:cstheme="minorHAnsi"/>
          <w:b/>
          <w:sz w:val="24"/>
          <w:szCs w:val="24"/>
        </w:rPr>
        <w:t>end</w:t>
      </w:r>
      <w:r w:rsidR="000A1C0D">
        <w:rPr>
          <w:rFonts w:cstheme="minorHAnsi"/>
          <w:b/>
          <w:sz w:val="24"/>
          <w:szCs w:val="24"/>
        </w:rPr>
        <w:t xml:space="preserve"> of</w:t>
      </w:r>
      <w:r w:rsidRPr="00544D6A">
        <w:rPr>
          <w:rFonts w:cstheme="minorHAnsi"/>
          <w:b/>
          <w:sz w:val="24"/>
          <w:szCs w:val="24"/>
        </w:rPr>
        <w:t xml:space="preserve"> June 2013 totaled Tsh 376 billion. </w:t>
      </w:r>
      <w:r w:rsidRPr="00544D6A">
        <w:rPr>
          <w:rFonts w:cstheme="minorHAnsi"/>
          <w:sz w:val="24"/>
          <w:szCs w:val="24"/>
        </w:rPr>
        <w:t>This translates into a net increase of Tsh 221 billion in outstanding payment</w:t>
      </w:r>
      <w:r w:rsidR="000A1C0D">
        <w:rPr>
          <w:rFonts w:cstheme="minorHAnsi"/>
          <w:sz w:val="24"/>
          <w:szCs w:val="24"/>
        </w:rPr>
        <w:t>s</w:t>
      </w:r>
      <w:r w:rsidRPr="00544D6A">
        <w:rPr>
          <w:rFonts w:cstheme="minorHAnsi"/>
          <w:sz w:val="24"/>
          <w:szCs w:val="24"/>
        </w:rPr>
        <w:t xml:space="preserve"> in 2012/13 when compared to Tsh 155 billion as of </w:t>
      </w:r>
      <w:r w:rsidR="000A1C0D">
        <w:rPr>
          <w:rFonts w:cstheme="minorHAnsi"/>
          <w:sz w:val="24"/>
          <w:szCs w:val="24"/>
        </w:rPr>
        <w:t xml:space="preserve">the </w:t>
      </w:r>
      <w:r w:rsidRPr="00544D6A">
        <w:rPr>
          <w:rFonts w:cstheme="minorHAnsi"/>
          <w:sz w:val="24"/>
          <w:szCs w:val="24"/>
        </w:rPr>
        <w:t>end</w:t>
      </w:r>
      <w:r w:rsidR="000A1C0D">
        <w:rPr>
          <w:rFonts w:cstheme="minorHAnsi"/>
          <w:sz w:val="24"/>
          <w:szCs w:val="24"/>
        </w:rPr>
        <w:t xml:space="preserve"> of</w:t>
      </w:r>
      <w:r w:rsidRPr="00544D6A">
        <w:rPr>
          <w:rFonts w:cstheme="minorHAnsi"/>
          <w:sz w:val="24"/>
          <w:szCs w:val="24"/>
        </w:rPr>
        <w:t xml:space="preserve"> June 2012. Despite substantial payments made to clear arrears the outstanding amounts are not diminishing due to the emergence of new arrears.  </w:t>
      </w:r>
    </w:p>
    <w:p w:rsidR="00B3649F" w:rsidRPr="00544D6A" w:rsidRDefault="00B3649F" w:rsidP="00B3649F">
      <w:pPr>
        <w:spacing w:after="0" w:line="240" w:lineRule="auto"/>
        <w:contextualSpacing/>
        <w:mirrorIndents/>
        <w:jc w:val="both"/>
        <w:rPr>
          <w:rFonts w:cstheme="minorHAnsi"/>
          <w:b/>
          <w:sz w:val="24"/>
          <w:szCs w:val="24"/>
        </w:rPr>
      </w:pPr>
    </w:p>
    <w:p w:rsidR="00B3649F" w:rsidRDefault="00B3649F" w:rsidP="00B3649F">
      <w:pPr>
        <w:numPr>
          <w:ilvl w:val="0"/>
          <w:numId w:val="30"/>
        </w:numPr>
        <w:tabs>
          <w:tab w:val="num" w:pos="720"/>
        </w:tabs>
        <w:spacing w:after="0" w:line="240" w:lineRule="auto"/>
        <w:ind w:left="0" w:firstLine="0"/>
        <w:contextualSpacing/>
        <w:mirrorIndents/>
        <w:jc w:val="both"/>
        <w:rPr>
          <w:rFonts w:cstheme="minorHAnsi"/>
          <w:sz w:val="24"/>
          <w:szCs w:val="24"/>
        </w:rPr>
      </w:pPr>
      <w:r w:rsidRPr="00397806">
        <w:rPr>
          <w:rFonts w:cstheme="minorHAnsi"/>
          <w:b/>
          <w:sz w:val="24"/>
          <w:szCs w:val="24"/>
        </w:rPr>
        <w:t>Physical execution of roads project</w:t>
      </w:r>
      <w:r>
        <w:rPr>
          <w:rFonts w:cstheme="minorHAnsi"/>
          <w:b/>
          <w:sz w:val="24"/>
          <w:szCs w:val="24"/>
        </w:rPr>
        <w:t>s</w:t>
      </w:r>
      <w:r w:rsidRPr="00397806">
        <w:rPr>
          <w:rFonts w:cstheme="minorHAnsi"/>
          <w:b/>
          <w:sz w:val="24"/>
          <w:szCs w:val="24"/>
        </w:rPr>
        <w:t xml:space="preserve"> remained low despite high financial execution</w:t>
      </w:r>
      <w:r>
        <w:rPr>
          <w:rFonts w:cstheme="minorHAnsi"/>
          <w:sz w:val="24"/>
          <w:szCs w:val="24"/>
        </w:rPr>
        <w:t xml:space="preserve">: </w:t>
      </w:r>
      <w:r w:rsidRPr="00B71357">
        <w:rPr>
          <w:rFonts w:cstheme="minorHAnsi"/>
          <w:sz w:val="24"/>
          <w:szCs w:val="24"/>
        </w:rPr>
        <w:t xml:space="preserve">The physical execution ratio remained lower than normal due to </w:t>
      </w:r>
      <w:r w:rsidR="000A1C0D">
        <w:rPr>
          <w:rFonts w:cstheme="minorHAnsi"/>
          <w:sz w:val="24"/>
          <w:szCs w:val="24"/>
        </w:rPr>
        <w:t xml:space="preserve">the </w:t>
      </w:r>
      <w:r w:rsidRPr="00B71357">
        <w:rPr>
          <w:rFonts w:cstheme="minorHAnsi"/>
          <w:sz w:val="24"/>
          <w:szCs w:val="24"/>
        </w:rPr>
        <w:t xml:space="preserve">diversion of funds for clearance of arrears and suspension or slow execution of works by numerous contractors whose invoices remained unpaid. </w:t>
      </w:r>
    </w:p>
    <w:p w:rsidR="00B3649F" w:rsidRPr="00B71357" w:rsidRDefault="00B3649F" w:rsidP="00B3649F">
      <w:pPr>
        <w:spacing w:after="0" w:line="240" w:lineRule="auto"/>
        <w:jc w:val="both"/>
        <w:rPr>
          <w:rFonts w:cstheme="minorHAnsi"/>
          <w:sz w:val="24"/>
          <w:szCs w:val="24"/>
        </w:rPr>
      </w:pPr>
    </w:p>
    <w:p w:rsidR="00B3649F" w:rsidRPr="00544D6A" w:rsidRDefault="00B3649F" w:rsidP="00B3649F">
      <w:pPr>
        <w:spacing w:after="0" w:line="240" w:lineRule="auto"/>
        <w:mirrorIndents/>
        <w:jc w:val="both"/>
        <w:rPr>
          <w:rFonts w:cs="Times New Roman"/>
          <w:i/>
          <w:sz w:val="24"/>
          <w:szCs w:val="24"/>
        </w:rPr>
      </w:pPr>
      <w:r w:rsidRPr="00544D6A">
        <w:rPr>
          <w:rFonts w:cs="Times New Roman"/>
          <w:i/>
          <w:sz w:val="24"/>
          <w:szCs w:val="24"/>
        </w:rPr>
        <w:t>2013/14 approved budget</w:t>
      </w:r>
    </w:p>
    <w:p w:rsidR="00B3649F" w:rsidRPr="00B71357" w:rsidRDefault="00B3649F" w:rsidP="00B3649F">
      <w:pPr>
        <w:spacing w:after="0" w:line="240" w:lineRule="auto"/>
        <w:jc w:val="both"/>
        <w:rPr>
          <w:rFonts w:cstheme="minorHAnsi"/>
          <w:sz w:val="24"/>
          <w:szCs w:val="24"/>
        </w:rPr>
      </w:pPr>
    </w:p>
    <w:p w:rsidR="00B3649F" w:rsidRDefault="000A1C0D" w:rsidP="00B3649F">
      <w:pPr>
        <w:numPr>
          <w:ilvl w:val="0"/>
          <w:numId w:val="30"/>
        </w:numPr>
        <w:tabs>
          <w:tab w:val="num" w:pos="720"/>
        </w:tabs>
        <w:spacing w:after="0" w:line="240" w:lineRule="auto"/>
        <w:ind w:left="0" w:firstLine="0"/>
        <w:contextualSpacing/>
        <w:mirrorIndents/>
        <w:jc w:val="both"/>
        <w:rPr>
          <w:rFonts w:cstheme="minorHAnsi"/>
          <w:sz w:val="24"/>
          <w:szCs w:val="24"/>
        </w:rPr>
      </w:pPr>
      <w:r>
        <w:rPr>
          <w:rFonts w:cstheme="minorHAnsi"/>
          <w:b/>
          <w:sz w:val="24"/>
          <w:szCs w:val="24"/>
        </w:rPr>
        <w:t xml:space="preserve">The </w:t>
      </w:r>
      <w:r w:rsidR="007E7D27">
        <w:rPr>
          <w:rFonts w:cstheme="minorHAnsi"/>
          <w:b/>
          <w:sz w:val="24"/>
          <w:szCs w:val="24"/>
        </w:rPr>
        <w:t>share of public resources going to</w:t>
      </w:r>
      <w:r w:rsidR="000C2496">
        <w:rPr>
          <w:rFonts w:cstheme="minorHAnsi"/>
          <w:b/>
          <w:sz w:val="24"/>
          <w:szCs w:val="24"/>
        </w:rPr>
        <w:t xml:space="preserve"> the</w:t>
      </w:r>
      <w:r w:rsidR="007E7D27">
        <w:rPr>
          <w:rFonts w:cstheme="minorHAnsi"/>
          <w:b/>
          <w:sz w:val="24"/>
          <w:szCs w:val="24"/>
        </w:rPr>
        <w:t xml:space="preserve"> transport sector is projected to increase </w:t>
      </w:r>
      <w:r w:rsidR="003336CD">
        <w:rPr>
          <w:rFonts w:cstheme="minorHAnsi"/>
          <w:b/>
          <w:sz w:val="24"/>
          <w:szCs w:val="24"/>
        </w:rPr>
        <w:t>significantly from</w:t>
      </w:r>
      <w:r w:rsidR="007E7D27">
        <w:rPr>
          <w:rFonts w:cstheme="minorHAnsi"/>
          <w:b/>
          <w:sz w:val="24"/>
          <w:szCs w:val="24"/>
        </w:rPr>
        <w:t xml:space="preserve"> 11.6 </w:t>
      </w:r>
      <w:r w:rsidR="003336CD">
        <w:rPr>
          <w:rFonts w:cstheme="minorHAnsi"/>
          <w:b/>
          <w:sz w:val="24"/>
          <w:szCs w:val="24"/>
        </w:rPr>
        <w:t>percent to</w:t>
      </w:r>
      <w:r w:rsidR="007E7D27">
        <w:rPr>
          <w:rFonts w:cstheme="minorHAnsi"/>
          <w:b/>
          <w:sz w:val="24"/>
          <w:szCs w:val="24"/>
        </w:rPr>
        <w:t xml:space="preserve"> 12.9 percent of total approved budget</w:t>
      </w:r>
      <w:r w:rsidR="00C00F62">
        <w:rPr>
          <w:rFonts w:cstheme="minorHAnsi"/>
          <w:b/>
          <w:sz w:val="24"/>
          <w:szCs w:val="24"/>
        </w:rPr>
        <w:t xml:space="preserve"> between 2012/13 and 2013/14.</w:t>
      </w:r>
      <w:r w:rsidR="00B3649F">
        <w:rPr>
          <w:rFonts w:cstheme="minorHAnsi"/>
          <w:sz w:val="24"/>
          <w:szCs w:val="24"/>
        </w:rPr>
        <w:t xml:space="preserve"> The increase in </w:t>
      </w:r>
      <w:r w:rsidR="00B3649F" w:rsidRPr="00B71357">
        <w:rPr>
          <w:rFonts w:cstheme="minorHAnsi"/>
          <w:sz w:val="24"/>
          <w:szCs w:val="24"/>
        </w:rPr>
        <w:t xml:space="preserve">both </w:t>
      </w:r>
      <w:r w:rsidR="00B3649F">
        <w:rPr>
          <w:rFonts w:cstheme="minorHAnsi"/>
          <w:sz w:val="24"/>
          <w:szCs w:val="24"/>
        </w:rPr>
        <w:t xml:space="preserve">the </w:t>
      </w:r>
      <w:r w:rsidR="00B3649F" w:rsidRPr="00B71357">
        <w:rPr>
          <w:rFonts w:cstheme="minorHAnsi"/>
          <w:sz w:val="24"/>
          <w:szCs w:val="24"/>
        </w:rPr>
        <w:t xml:space="preserve">road subsector and the non-road subsectors are consistent with the need for scaled up transport infrastructure development and the intermodal approach at the core of FYDP and National Transport Policy.  However, there are </w:t>
      </w:r>
      <w:r w:rsidR="00B3649F" w:rsidRPr="00B71357">
        <w:rPr>
          <w:rFonts w:cstheme="minorHAnsi"/>
          <w:sz w:val="24"/>
          <w:szCs w:val="24"/>
        </w:rPr>
        <w:lastRenderedPageBreak/>
        <w:t>two serious uncertainties.  First,</w:t>
      </w:r>
      <w:r w:rsidR="00C00F62">
        <w:rPr>
          <w:rFonts w:cstheme="minorHAnsi"/>
          <w:sz w:val="24"/>
          <w:szCs w:val="24"/>
        </w:rPr>
        <w:t xml:space="preserve"> a significant part</w:t>
      </w:r>
      <w:r w:rsidR="00B3649F" w:rsidRPr="00B71357">
        <w:rPr>
          <w:rFonts w:cstheme="minorHAnsi"/>
          <w:sz w:val="24"/>
          <w:szCs w:val="24"/>
        </w:rPr>
        <w:t xml:space="preserve"> of the increased road subsector budget </w:t>
      </w:r>
      <w:r w:rsidR="00C00F62">
        <w:rPr>
          <w:rFonts w:cstheme="minorHAnsi"/>
          <w:sz w:val="24"/>
          <w:szCs w:val="24"/>
        </w:rPr>
        <w:t>will be used to</w:t>
      </w:r>
      <w:r w:rsidR="00B3649F" w:rsidRPr="00B71357">
        <w:rPr>
          <w:rFonts w:cstheme="minorHAnsi"/>
          <w:sz w:val="24"/>
          <w:szCs w:val="24"/>
        </w:rPr>
        <w:t xml:space="preserve"> clear arrears.  </w:t>
      </w:r>
      <w:r w:rsidR="00C00F62">
        <w:rPr>
          <w:rFonts w:cstheme="minorHAnsi"/>
          <w:sz w:val="24"/>
          <w:szCs w:val="24"/>
        </w:rPr>
        <w:t>And s</w:t>
      </w:r>
      <w:r w:rsidR="00B3649F" w:rsidRPr="00B71357">
        <w:rPr>
          <w:rFonts w:cstheme="minorHAnsi"/>
          <w:sz w:val="24"/>
          <w:szCs w:val="24"/>
        </w:rPr>
        <w:t>econd, the approved budget for the non-road subsectors may not be executed in full as in the past</w:t>
      </w:r>
      <w:r w:rsidR="00327125">
        <w:rPr>
          <w:rFonts w:cstheme="minorHAnsi"/>
          <w:sz w:val="24"/>
          <w:szCs w:val="24"/>
        </w:rPr>
        <w:t xml:space="preserve"> since the execution rate was only 44 percent in 2012/13.</w:t>
      </w:r>
    </w:p>
    <w:p w:rsidR="00B3649F" w:rsidRPr="00B71357" w:rsidRDefault="00B3649F" w:rsidP="00B3649F">
      <w:pPr>
        <w:spacing w:after="0" w:line="240" w:lineRule="auto"/>
        <w:jc w:val="both"/>
        <w:rPr>
          <w:rFonts w:cstheme="minorHAnsi"/>
          <w:sz w:val="24"/>
          <w:szCs w:val="24"/>
        </w:rPr>
      </w:pPr>
    </w:p>
    <w:p w:rsidR="00B3649F" w:rsidRPr="00B004D0" w:rsidRDefault="00B3649F" w:rsidP="00B3649F">
      <w:pPr>
        <w:numPr>
          <w:ilvl w:val="0"/>
          <w:numId w:val="30"/>
        </w:numPr>
        <w:tabs>
          <w:tab w:val="num" w:pos="720"/>
        </w:tabs>
        <w:spacing w:after="0" w:line="240" w:lineRule="auto"/>
        <w:ind w:left="0" w:firstLine="0"/>
        <w:contextualSpacing/>
        <w:mirrorIndents/>
        <w:jc w:val="both"/>
        <w:rPr>
          <w:rFonts w:cstheme="minorHAnsi"/>
          <w:sz w:val="24"/>
          <w:szCs w:val="24"/>
        </w:rPr>
      </w:pPr>
      <w:r w:rsidRPr="00327125">
        <w:rPr>
          <w:rFonts w:cstheme="minorHAnsi"/>
          <w:b/>
          <w:sz w:val="24"/>
          <w:szCs w:val="24"/>
        </w:rPr>
        <w:t xml:space="preserve">Moreover, the increased 2013/14 budget for the transport sector still </w:t>
      </w:r>
      <w:r w:rsidR="00C827C1" w:rsidRPr="00327125">
        <w:rPr>
          <w:rFonts w:cstheme="minorHAnsi"/>
          <w:b/>
          <w:sz w:val="24"/>
          <w:szCs w:val="24"/>
        </w:rPr>
        <w:t xml:space="preserve">does </w:t>
      </w:r>
      <w:r w:rsidR="000A1C0D" w:rsidRPr="00327125">
        <w:rPr>
          <w:rFonts w:cstheme="minorHAnsi"/>
          <w:b/>
          <w:sz w:val="24"/>
          <w:szCs w:val="24"/>
        </w:rPr>
        <w:t xml:space="preserve">not meet the funding requirements for </w:t>
      </w:r>
      <w:r w:rsidRPr="00327125">
        <w:rPr>
          <w:rFonts w:cstheme="minorHAnsi"/>
          <w:b/>
          <w:sz w:val="24"/>
          <w:szCs w:val="24"/>
        </w:rPr>
        <w:t>TSIP Phase II and the BRN Initiatives</w:t>
      </w:r>
      <w:r w:rsidRPr="00B71357">
        <w:rPr>
          <w:rFonts w:cstheme="minorHAnsi"/>
          <w:sz w:val="24"/>
          <w:szCs w:val="24"/>
        </w:rPr>
        <w:t>.  The</w:t>
      </w:r>
      <w:r>
        <w:rPr>
          <w:rFonts w:cstheme="minorHAnsi"/>
          <w:sz w:val="24"/>
          <w:szCs w:val="24"/>
        </w:rPr>
        <w:t xml:space="preserve"> underfunding of the BRN could partly be explained by the mismatch between the timing of the budget process and launch of the BRN initiative. </w:t>
      </w:r>
      <w:r w:rsidR="000A1C0D">
        <w:rPr>
          <w:rFonts w:cstheme="minorHAnsi"/>
          <w:sz w:val="24"/>
          <w:szCs w:val="24"/>
        </w:rPr>
        <w:t>Despite the large financing gap</w:t>
      </w:r>
      <w:r>
        <w:rPr>
          <w:rFonts w:cstheme="minorHAnsi"/>
          <w:sz w:val="24"/>
          <w:szCs w:val="24"/>
        </w:rPr>
        <w:t>,</w:t>
      </w:r>
      <w:r w:rsidR="000A1C0D">
        <w:rPr>
          <w:rFonts w:cstheme="minorHAnsi"/>
          <w:sz w:val="24"/>
          <w:szCs w:val="24"/>
        </w:rPr>
        <w:t xml:space="preserve"> </w:t>
      </w:r>
      <w:r w:rsidR="00C827C1">
        <w:rPr>
          <w:rFonts w:cstheme="minorHAnsi"/>
          <w:sz w:val="24"/>
          <w:szCs w:val="24"/>
        </w:rPr>
        <w:t xml:space="preserve">however, </w:t>
      </w:r>
      <w:r w:rsidR="000A1C0D">
        <w:rPr>
          <w:rFonts w:cstheme="minorHAnsi"/>
          <w:sz w:val="24"/>
          <w:szCs w:val="24"/>
        </w:rPr>
        <w:t>there is</w:t>
      </w:r>
      <w:r>
        <w:rPr>
          <w:rFonts w:cstheme="minorHAnsi"/>
          <w:sz w:val="24"/>
          <w:szCs w:val="24"/>
        </w:rPr>
        <w:t xml:space="preserve"> </w:t>
      </w:r>
      <w:r w:rsidRPr="00B71357">
        <w:rPr>
          <w:rFonts w:cstheme="minorHAnsi"/>
          <w:sz w:val="24"/>
          <w:szCs w:val="24"/>
        </w:rPr>
        <w:t>some broad realignment of development expenditures in line with FYDP, TSIP II, and BRN Initiatives evident in the increased allocations for the non</w:t>
      </w:r>
      <w:r>
        <w:rPr>
          <w:rFonts w:cstheme="minorHAnsi"/>
          <w:sz w:val="24"/>
          <w:szCs w:val="24"/>
        </w:rPr>
        <w:t>-</w:t>
      </w:r>
      <w:r w:rsidRPr="00B71357">
        <w:rPr>
          <w:rFonts w:cstheme="minorHAnsi"/>
          <w:sz w:val="24"/>
          <w:szCs w:val="24"/>
        </w:rPr>
        <w:t xml:space="preserve">road subsectors in the current budget, especially </w:t>
      </w:r>
      <w:r w:rsidR="000A1C0D">
        <w:rPr>
          <w:rFonts w:cstheme="minorHAnsi"/>
          <w:sz w:val="24"/>
          <w:szCs w:val="24"/>
        </w:rPr>
        <w:t>for</w:t>
      </w:r>
      <w:r w:rsidR="000A1C0D" w:rsidRPr="00B71357">
        <w:rPr>
          <w:rFonts w:cstheme="minorHAnsi"/>
          <w:sz w:val="24"/>
          <w:szCs w:val="24"/>
        </w:rPr>
        <w:t xml:space="preserve"> </w:t>
      </w:r>
      <w:r w:rsidRPr="00B71357">
        <w:rPr>
          <w:rFonts w:cstheme="minorHAnsi"/>
          <w:sz w:val="24"/>
          <w:szCs w:val="24"/>
        </w:rPr>
        <w:t xml:space="preserve">rail.   </w:t>
      </w:r>
    </w:p>
    <w:p w:rsidR="00B3649F" w:rsidRDefault="00B3649F" w:rsidP="00B3649F">
      <w:pPr>
        <w:spacing w:after="0" w:line="240" w:lineRule="auto"/>
        <w:jc w:val="both"/>
        <w:rPr>
          <w:rFonts w:cstheme="minorHAnsi"/>
          <w:sz w:val="24"/>
          <w:szCs w:val="24"/>
        </w:rPr>
      </w:pPr>
    </w:p>
    <w:p w:rsidR="00B3649F" w:rsidRDefault="00B3649F" w:rsidP="00B3649F">
      <w:pPr>
        <w:numPr>
          <w:ilvl w:val="0"/>
          <w:numId w:val="30"/>
        </w:numPr>
        <w:tabs>
          <w:tab w:val="num" w:pos="720"/>
        </w:tabs>
        <w:spacing w:after="0" w:line="240" w:lineRule="auto"/>
        <w:ind w:left="0" w:firstLine="0"/>
        <w:contextualSpacing/>
        <w:mirrorIndents/>
        <w:jc w:val="both"/>
        <w:rPr>
          <w:rFonts w:cstheme="minorHAnsi"/>
          <w:sz w:val="24"/>
          <w:szCs w:val="24"/>
        </w:rPr>
      </w:pPr>
      <w:r w:rsidRPr="00E7251D">
        <w:rPr>
          <w:rFonts w:cstheme="minorHAnsi"/>
          <w:b/>
          <w:sz w:val="24"/>
          <w:szCs w:val="24"/>
        </w:rPr>
        <w:t>There is inadequate direct funding in the current budget for LGTP Phase II</w:t>
      </w:r>
      <w:r w:rsidRPr="00B71357">
        <w:rPr>
          <w:rFonts w:cstheme="minorHAnsi"/>
          <w:sz w:val="24"/>
          <w:szCs w:val="24"/>
        </w:rPr>
        <w:t xml:space="preserve"> that is now in its second year of implementation.  This is a serious issue in contravention with the top M</w:t>
      </w:r>
      <w:r>
        <w:rPr>
          <w:rFonts w:cstheme="minorHAnsi"/>
          <w:sz w:val="24"/>
          <w:szCs w:val="24"/>
        </w:rPr>
        <w:t xml:space="preserve">KUKUTA </w:t>
      </w:r>
      <w:r w:rsidRPr="00B71357">
        <w:rPr>
          <w:rFonts w:cstheme="minorHAnsi"/>
          <w:sz w:val="24"/>
          <w:szCs w:val="24"/>
        </w:rPr>
        <w:t>II priority of poverty reduction and shared growth</w:t>
      </w:r>
      <w:r>
        <w:rPr>
          <w:rFonts w:cstheme="minorHAnsi"/>
          <w:sz w:val="24"/>
          <w:szCs w:val="24"/>
        </w:rPr>
        <w:t xml:space="preserve">. </w:t>
      </w:r>
    </w:p>
    <w:p w:rsidR="00B3649F" w:rsidRPr="00B71357" w:rsidRDefault="00B3649F" w:rsidP="00B3649F">
      <w:pPr>
        <w:spacing w:after="0" w:line="240" w:lineRule="auto"/>
        <w:jc w:val="both"/>
        <w:rPr>
          <w:rFonts w:cstheme="minorHAnsi"/>
          <w:sz w:val="24"/>
          <w:szCs w:val="24"/>
        </w:rPr>
      </w:pPr>
    </w:p>
    <w:p w:rsidR="00B3649F" w:rsidRDefault="00B3649F" w:rsidP="00B3649F">
      <w:pPr>
        <w:numPr>
          <w:ilvl w:val="0"/>
          <w:numId w:val="30"/>
        </w:numPr>
        <w:tabs>
          <w:tab w:val="num" w:pos="720"/>
        </w:tabs>
        <w:spacing w:after="0" w:line="240" w:lineRule="auto"/>
        <w:ind w:left="0" w:firstLine="0"/>
        <w:contextualSpacing/>
        <w:mirrorIndents/>
        <w:jc w:val="both"/>
        <w:rPr>
          <w:rFonts w:cstheme="minorHAnsi"/>
          <w:sz w:val="24"/>
          <w:szCs w:val="24"/>
        </w:rPr>
      </w:pPr>
      <w:r w:rsidRPr="00E7251D">
        <w:rPr>
          <w:rFonts w:cstheme="minorHAnsi"/>
          <w:sz w:val="24"/>
          <w:szCs w:val="24"/>
        </w:rPr>
        <w:t>In order to improve the performance of the transport sector it is important the Government: (</w:t>
      </w:r>
      <w:proofErr w:type="spellStart"/>
      <w:r w:rsidRPr="00E7251D">
        <w:rPr>
          <w:rFonts w:cstheme="minorHAnsi"/>
          <w:sz w:val="24"/>
          <w:szCs w:val="24"/>
        </w:rPr>
        <w:t>i</w:t>
      </w:r>
      <w:proofErr w:type="spellEnd"/>
      <w:r w:rsidRPr="00E7251D">
        <w:rPr>
          <w:rFonts w:cstheme="minorHAnsi"/>
          <w:sz w:val="24"/>
          <w:szCs w:val="24"/>
        </w:rPr>
        <w:t>) adopt a comprehensive approach as proposed in the RBA Sector Background Note – Transport to clearance of arrears; (ii) develop strategic policies and investments to catalyze private investments under PPPs; and (iii) provides direct budgetary allocations to LGTP Phase II matching dollar for dollar the rising donor assistance in this area in 2014/15 and beyond.</w:t>
      </w:r>
    </w:p>
    <w:p w:rsidR="00B3649F" w:rsidRDefault="00B3649F" w:rsidP="00B3649F">
      <w:pPr>
        <w:spacing w:after="0" w:line="240" w:lineRule="auto"/>
        <w:contextualSpacing/>
        <w:mirrorIndents/>
        <w:jc w:val="both"/>
        <w:rPr>
          <w:rFonts w:cstheme="minorHAnsi"/>
          <w:sz w:val="24"/>
          <w:szCs w:val="24"/>
        </w:rPr>
      </w:pPr>
    </w:p>
    <w:p w:rsidR="00B3649F" w:rsidRPr="00FD6CBA" w:rsidRDefault="00B3649F" w:rsidP="00B3649F">
      <w:pPr>
        <w:pStyle w:val="ListParagraph"/>
        <w:numPr>
          <w:ilvl w:val="0"/>
          <w:numId w:val="14"/>
        </w:numPr>
        <w:spacing w:after="0" w:line="240" w:lineRule="auto"/>
        <w:ind w:left="0" w:firstLine="0"/>
        <w:mirrorIndents/>
        <w:jc w:val="both"/>
        <w:rPr>
          <w:rFonts w:cs="Times New Roman"/>
          <w:b/>
          <w:sz w:val="24"/>
          <w:szCs w:val="24"/>
        </w:rPr>
      </w:pPr>
      <w:r w:rsidRPr="00FD6CBA">
        <w:rPr>
          <w:rFonts w:cs="Times New Roman"/>
          <w:b/>
          <w:sz w:val="24"/>
          <w:szCs w:val="24"/>
        </w:rPr>
        <w:t>Energy</w:t>
      </w:r>
    </w:p>
    <w:p w:rsidR="00B3649F" w:rsidRDefault="00B3649F" w:rsidP="00B3649F">
      <w:pPr>
        <w:pStyle w:val="ListParagraph"/>
        <w:spacing w:after="0" w:line="240" w:lineRule="auto"/>
        <w:ind w:left="360"/>
        <w:mirrorIndents/>
        <w:jc w:val="both"/>
        <w:rPr>
          <w:rFonts w:cs="Times New Roman"/>
          <w:sz w:val="24"/>
          <w:szCs w:val="24"/>
        </w:rPr>
      </w:pPr>
    </w:p>
    <w:p w:rsidR="00B3649F" w:rsidRDefault="00B3649F" w:rsidP="00886AA2">
      <w:pPr>
        <w:spacing w:after="0" w:line="240" w:lineRule="auto"/>
        <w:mirrorIndents/>
        <w:jc w:val="both"/>
        <w:rPr>
          <w:rFonts w:cs="Times New Roman"/>
          <w:sz w:val="24"/>
          <w:szCs w:val="24"/>
        </w:rPr>
      </w:pPr>
      <w:r w:rsidRPr="00886AA2">
        <w:rPr>
          <w:rFonts w:cs="Times New Roman"/>
          <w:sz w:val="24"/>
          <w:szCs w:val="24"/>
        </w:rPr>
        <w:t>2012/13 actual expenditure</w:t>
      </w:r>
    </w:p>
    <w:p w:rsidR="00886AA2" w:rsidRPr="00886AA2" w:rsidRDefault="00886AA2" w:rsidP="00886AA2">
      <w:pPr>
        <w:spacing w:after="0" w:line="240" w:lineRule="auto"/>
        <w:mirrorIndents/>
        <w:jc w:val="both"/>
        <w:rPr>
          <w:rFonts w:cs="Times New Roman"/>
          <w:sz w:val="24"/>
          <w:szCs w:val="24"/>
        </w:rPr>
      </w:pPr>
    </w:p>
    <w:p w:rsidR="00886AA2" w:rsidRDefault="00C827C1" w:rsidP="00886AA2">
      <w:pPr>
        <w:numPr>
          <w:ilvl w:val="0"/>
          <w:numId w:val="30"/>
        </w:numPr>
        <w:tabs>
          <w:tab w:val="num" w:pos="720"/>
        </w:tabs>
        <w:spacing w:after="0" w:line="240" w:lineRule="auto"/>
        <w:ind w:left="0" w:firstLine="0"/>
        <w:contextualSpacing/>
        <w:mirrorIndents/>
        <w:jc w:val="both"/>
        <w:rPr>
          <w:sz w:val="24"/>
          <w:szCs w:val="24"/>
        </w:rPr>
      </w:pPr>
      <w:r>
        <w:rPr>
          <w:b/>
          <w:sz w:val="24"/>
          <w:szCs w:val="24"/>
        </w:rPr>
        <w:t>Th</w:t>
      </w:r>
      <w:r w:rsidR="00401BAA">
        <w:rPr>
          <w:b/>
          <w:sz w:val="24"/>
          <w:szCs w:val="24"/>
        </w:rPr>
        <w:t xml:space="preserve">is sector witnessed a </w:t>
      </w:r>
      <w:r w:rsidR="003036B0" w:rsidRPr="003036B0">
        <w:rPr>
          <w:b/>
          <w:sz w:val="24"/>
          <w:szCs w:val="24"/>
        </w:rPr>
        <w:t>large</w:t>
      </w:r>
      <w:r w:rsidR="003036B0">
        <w:rPr>
          <w:b/>
          <w:sz w:val="24"/>
          <w:szCs w:val="24"/>
        </w:rPr>
        <w:t xml:space="preserve"> increase in </w:t>
      </w:r>
      <w:r w:rsidR="00401BAA">
        <w:rPr>
          <w:b/>
          <w:sz w:val="24"/>
          <w:szCs w:val="24"/>
        </w:rPr>
        <w:t xml:space="preserve">actual </w:t>
      </w:r>
      <w:r w:rsidR="003036B0" w:rsidRPr="003036B0">
        <w:rPr>
          <w:b/>
          <w:sz w:val="24"/>
          <w:szCs w:val="24"/>
        </w:rPr>
        <w:t xml:space="preserve">expenditures </w:t>
      </w:r>
      <w:r>
        <w:rPr>
          <w:b/>
          <w:sz w:val="24"/>
          <w:szCs w:val="24"/>
        </w:rPr>
        <w:t>compared to the</w:t>
      </w:r>
      <w:r w:rsidRPr="003036B0">
        <w:rPr>
          <w:b/>
          <w:sz w:val="24"/>
          <w:szCs w:val="24"/>
        </w:rPr>
        <w:t xml:space="preserve"> </w:t>
      </w:r>
      <w:r w:rsidR="003036B0" w:rsidRPr="003036B0">
        <w:rPr>
          <w:b/>
          <w:sz w:val="24"/>
          <w:szCs w:val="24"/>
        </w:rPr>
        <w:t>approved budget</w:t>
      </w:r>
      <w:r w:rsidR="00401BAA">
        <w:rPr>
          <w:b/>
          <w:sz w:val="24"/>
          <w:szCs w:val="24"/>
        </w:rPr>
        <w:t xml:space="preserve"> in 2012/13</w:t>
      </w:r>
      <w:r>
        <w:rPr>
          <w:sz w:val="24"/>
          <w:szCs w:val="24"/>
        </w:rPr>
        <w:t>.</w:t>
      </w:r>
      <w:r w:rsidR="003036B0">
        <w:rPr>
          <w:sz w:val="24"/>
          <w:szCs w:val="24"/>
        </w:rPr>
        <w:t xml:space="preserve"> </w:t>
      </w:r>
      <w:r w:rsidR="00E15335">
        <w:rPr>
          <w:sz w:val="24"/>
          <w:szCs w:val="24"/>
        </w:rPr>
        <w:t xml:space="preserve">The increased expenditure was driven by </w:t>
      </w:r>
      <w:r w:rsidR="0048194F">
        <w:rPr>
          <w:sz w:val="24"/>
          <w:szCs w:val="24"/>
        </w:rPr>
        <w:t>increased transfers to TANESCO to close the financial gap</w:t>
      </w:r>
      <w:r w:rsidR="00886AA2" w:rsidRPr="005A658E">
        <w:rPr>
          <w:sz w:val="24"/>
          <w:szCs w:val="24"/>
        </w:rPr>
        <w:t xml:space="preserve">.  Through mid-year budget reallocations, recurrent expenditure was </w:t>
      </w:r>
      <w:r w:rsidR="0048194F">
        <w:rPr>
          <w:sz w:val="24"/>
          <w:szCs w:val="24"/>
        </w:rPr>
        <w:t>370</w:t>
      </w:r>
      <w:r w:rsidR="00886AA2" w:rsidRPr="005A658E">
        <w:rPr>
          <w:sz w:val="24"/>
          <w:szCs w:val="24"/>
        </w:rPr>
        <w:t xml:space="preserve"> percent higher </w:t>
      </w:r>
      <w:r w:rsidR="000C2496">
        <w:rPr>
          <w:sz w:val="24"/>
          <w:szCs w:val="24"/>
        </w:rPr>
        <w:t xml:space="preserve">than </w:t>
      </w:r>
      <w:r w:rsidR="00886AA2" w:rsidRPr="005A658E">
        <w:rPr>
          <w:sz w:val="24"/>
          <w:szCs w:val="24"/>
        </w:rPr>
        <w:t xml:space="preserve">the approved budget while development expenditure was </w:t>
      </w:r>
      <w:r w:rsidR="0048194F">
        <w:rPr>
          <w:sz w:val="24"/>
          <w:szCs w:val="24"/>
        </w:rPr>
        <w:t>53</w:t>
      </w:r>
      <w:r w:rsidR="00886AA2" w:rsidRPr="005A658E">
        <w:rPr>
          <w:sz w:val="24"/>
          <w:szCs w:val="24"/>
        </w:rPr>
        <w:t xml:space="preserve"> percent </w:t>
      </w:r>
      <w:r w:rsidR="0048194F">
        <w:rPr>
          <w:sz w:val="24"/>
          <w:szCs w:val="24"/>
        </w:rPr>
        <w:t>lower than budget</w:t>
      </w:r>
      <w:r w:rsidR="000C2496">
        <w:rPr>
          <w:sz w:val="24"/>
          <w:szCs w:val="24"/>
        </w:rPr>
        <w:t>ed</w:t>
      </w:r>
      <w:r w:rsidR="0048194F">
        <w:rPr>
          <w:sz w:val="24"/>
          <w:szCs w:val="24"/>
        </w:rPr>
        <w:t>, after adjusting for transfers to TANESCO from development budget to recurrent budget.</w:t>
      </w:r>
      <w:r w:rsidR="00886AA2" w:rsidRPr="005A658E">
        <w:rPr>
          <w:sz w:val="24"/>
          <w:szCs w:val="24"/>
        </w:rPr>
        <w:t xml:space="preserve"> </w:t>
      </w:r>
      <w:r w:rsidR="0048194F">
        <w:rPr>
          <w:sz w:val="24"/>
          <w:szCs w:val="24"/>
        </w:rPr>
        <w:t xml:space="preserve"> </w:t>
      </w:r>
    </w:p>
    <w:p w:rsidR="00886AA2" w:rsidRDefault="00886AA2" w:rsidP="00886AA2">
      <w:pPr>
        <w:spacing w:after="0" w:line="240" w:lineRule="auto"/>
        <w:mirrorIndents/>
        <w:jc w:val="both"/>
        <w:rPr>
          <w:rFonts w:cs="Times New Roman"/>
          <w:sz w:val="24"/>
          <w:szCs w:val="24"/>
        </w:rPr>
      </w:pPr>
    </w:p>
    <w:p w:rsidR="00B3649F" w:rsidRDefault="00B3649F" w:rsidP="00886AA2">
      <w:pPr>
        <w:spacing w:after="0" w:line="240" w:lineRule="auto"/>
        <w:mirrorIndents/>
        <w:jc w:val="both"/>
        <w:rPr>
          <w:rFonts w:cs="Times New Roman"/>
          <w:sz w:val="24"/>
          <w:szCs w:val="24"/>
        </w:rPr>
      </w:pPr>
      <w:r w:rsidRPr="00886AA2">
        <w:rPr>
          <w:rFonts w:cs="Times New Roman"/>
          <w:sz w:val="24"/>
          <w:szCs w:val="24"/>
        </w:rPr>
        <w:t>2013/14 approved budget</w:t>
      </w:r>
    </w:p>
    <w:p w:rsidR="00886AA2" w:rsidRDefault="00886AA2" w:rsidP="00886AA2">
      <w:pPr>
        <w:spacing w:after="0" w:line="240" w:lineRule="auto"/>
        <w:mirrorIndents/>
        <w:jc w:val="both"/>
        <w:rPr>
          <w:rFonts w:cs="Times New Roman"/>
          <w:sz w:val="24"/>
          <w:szCs w:val="24"/>
        </w:rPr>
      </w:pPr>
    </w:p>
    <w:p w:rsidR="00F17019" w:rsidRDefault="00F17019" w:rsidP="00F17019">
      <w:pPr>
        <w:numPr>
          <w:ilvl w:val="0"/>
          <w:numId w:val="30"/>
        </w:numPr>
        <w:tabs>
          <w:tab w:val="num" w:pos="720"/>
        </w:tabs>
        <w:spacing w:after="0" w:line="240" w:lineRule="auto"/>
        <w:ind w:left="0" w:firstLine="0"/>
        <w:contextualSpacing/>
        <w:mirrorIndents/>
        <w:jc w:val="both"/>
        <w:rPr>
          <w:rFonts w:cs="Times New Roman"/>
          <w:sz w:val="24"/>
          <w:szCs w:val="24"/>
        </w:rPr>
      </w:pPr>
      <w:r w:rsidRPr="00F17019">
        <w:rPr>
          <w:b/>
          <w:sz w:val="24"/>
          <w:szCs w:val="24"/>
        </w:rPr>
        <w:t>Spending on the energy sector is anticipated to increase further</w:t>
      </w:r>
      <w:r>
        <w:rPr>
          <w:b/>
          <w:sz w:val="24"/>
          <w:szCs w:val="24"/>
        </w:rPr>
        <w:t xml:space="preserve">. </w:t>
      </w:r>
      <w:r>
        <w:rPr>
          <w:sz w:val="24"/>
          <w:szCs w:val="24"/>
        </w:rPr>
        <w:t xml:space="preserve"> While containing the growth of </w:t>
      </w:r>
      <w:r w:rsidR="00C827C1">
        <w:rPr>
          <w:sz w:val="24"/>
          <w:szCs w:val="24"/>
        </w:rPr>
        <w:t xml:space="preserve">the </w:t>
      </w:r>
      <w:r>
        <w:rPr>
          <w:sz w:val="24"/>
          <w:szCs w:val="24"/>
        </w:rPr>
        <w:t xml:space="preserve">recurrent budget, </w:t>
      </w:r>
      <w:r w:rsidR="00E15335" w:rsidRPr="005A658E">
        <w:rPr>
          <w:sz w:val="24"/>
          <w:szCs w:val="24"/>
        </w:rPr>
        <w:t xml:space="preserve">the approved budget for 2013/14 </w:t>
      </w:r>
      <w:r>
        <w:rPr>
          <w:sz w:val="24"/>
          <w:szCs w:val="24"/>
        </w:rPr>
        <w:t xml:space="preserve">has increased substantially </w:t>
      </w:r>
      <w:r w:rsidR="00C827C1">
        <w:rPr>
          <w:sz w:val="24"/>
          <w:szCs w:val="24"/>
        </w:rPr>
        <w:t xml:space="preserve">the </w:t>
      </w:r>
      <w:r>
        <w:rPr>
          <w:sz w:val="24"/>
          <w:szCs w:val="24"/>
        </w:rPr>
        <w:t xml:space="preserve">allocations for </w:t>
      </w:r>
      <w:r w:rsidR="00E15335" w:rsidRPr="005A658E">
        <w:rPr>
          <w:sz w:val="24"/>
          <w:szCs w:val="24"/>
        </w:rPr>
        <w:t>development expenditure, particularly foreign funded expenditure</w:t>
      </w:r>
      <w:r>
        <w:rPr>
          <w:sz w:val="24"/>
          <w:szCs w:val="24"/>
        </w:rPr>
        <w:t>. The funding source for increased development expenditure is partly from the</w:t>
      </w:r>
      <w:r w:rsidR="001F07B7">
        <w:rPr>
          <w:sz w:val="24"/>
          <w:szCs w:val="24"/>
        </w:rPr>
        <w:t xml:space="preserve"> </w:t>
      </w:r>
      <w:r>
        <w:rPr>
          <w:sz w:val="24"/>
          <w:szCs w:val="24"/>
        </w:rPr>
        <w:t xml:space="preserve">budget support by the </w:t>
      </w:r>
      <w:r w:rsidR="00E15335" w:rsidRPr="005A658E">
        <w:rPr>
          <w:sz w:val="24"/>
          <w:szCs w:val="24"/>
        </w:rPr>
        <w:t xml:space="preserve">World Bank and the African Development Bank, which the Government has budgeted for </w:t>
      </w:r>
      <w:r w:rsidR="000C2496">
        <w:rPr>
          <w:sz w:val="24"/>
          <w:szCs w:val="24"/>
        </w:rPr>
        <w:t xml:space="preserve">in </w:t>
      </w:r>
      <w:r w:rsidR="00E15335" w:rsidRPr="005A658E">
        <w:rPr>
          <w:sz w:val="24"/>
          <w:szCs w:val="24"/>
        </w:rPr>
        <w:t>transfers to TANESCO</w:t>
      </w:r>
      <w:r>
        <w:rPr>
          <w:rFonts w:cs="Times New Roman"/>
          <w:sz w:val="24"/>
          <w:szCs w:val="24"/>
        </w:rPr>
        <w:t xml:space="preserve">. </w:t>
      </w:r>
      <w:r w:rsidR="008E31BB">
        <w:rPr>
          <w:rFonts w:cs="Times New Roman"/>
          <w:sz w:val="24"/>
          <w:szCs w:val="24"/>
        </w:rPr>
        <w:t xml:space="preserve">However, these trends are not expected to </w:t>
      </w:r>
      <w:r w:rsidR="00EB2D0F">
        <w:rPr>
          <w:rFonts w:cs="Times New Roman"/>
          <w:sz w:val="24"/>
          <w:szCs w:val="24"/>
        </w:rPr>
        <w:t xml:space="preserve">finance capital goods but </w:t>
      </w:r>
      <w:r w:rsidR="00072457">
        <w:rPr>
          <w:rFonts w:cs="Times New Roman"/>
          <w:sz w:val="24"/>
          <w:szCs w:val="24"/>
        </w:rPr>
        <w:t>assist</w:t>
      </w:r>
      <w:r w:rsidR="00EB2D0F">
        <w:rPr>
          <w:rFonts w:cs="Times New Roman"/>
          <w:sz w:val="24"/>
          <w:szCs w:val="24"/>
        </w:rPr>
        <w:t xml:space="preserve"> TANESCO </w:t>
      </w:r>
      <w:r w:rsidR="000C2496">
        <w:rPr>
          <w:rFonts w:cs="Times New Roman"/>
          <w:sz w:val="24"/>
          <w:szCs w:val="24"/>
        </w:rPr>
        <w:t xml:space="preserve">to </w:t>
      </w:r>
      <w:r w:rsidR="00EB2D0F">
        <w:rPr>
          <w:rFonts w:cs="Times New Roman"/>
          <w:sz w:val="24"/>
          <w:szCs w:val="24"/>
        </w:rPr>
        <w:t>clear arrears.</w:t>
      </w:r>
    </w:p>
    <w:p w:rsidR="00F17019" w:rsidRPr="00F17019" w:rsidRDefault="00F17019" w:rsidP="00F17019">
      <w:pPr>
        <w:spacing w:after="0" w:line="240" w:lineRule="auto"/>
        <w:contextualSpacing/>
        <w:mirrorIndents/>
        <w:jc w:val="both"/>
        <w:rPr>
          <w:rFonts w:cs="Times New Roman"/>
          <w:sz w:val="24"/>
          <w:szCs w:val="24"/>
        </w:rPr>
      </w:pPr>
    </w:p>
    <w:p w:rsidR="00886AA2" w:rsidRPr="00F17019" w:rsidRDefault="00C827C1" w:rsidP="00F17019">
      <w:pPr>
        <w:numPr>
          <w:ilvl w:val="0"/>
          <w:numId w:val="30"/>
        </w:numPr>
        <w:tabs>
          <w:tab w:val="num" w:pos="720"/>
        </w:tabs>
        <w:spacing w:after="0" w:line="240" w:lineRule="auto"/>
        <w:ind w:left="0" w:firstLine="0"/>
        <w:contextualSpacing/>
        <w:mirrorIndents/>
        <w:jc w:val="both"/>
        <w:rPr>
          <w:rFonts w:cs="Times New Roman"/>
          <w:sz w:val="24"/>
          <w:szCs w:val="24"/>
        </w:rPr>
      </w:pPr>
      <w:r>
        <w:rPr>
          <w:b/>
          <w:sz w:val="24"/>
          <w:szCs w:val="24"/>
        </w:rPr>
        <w:lastRenderedPageBreak/>
        <w:t>The c</w:t>
      </w:r>
      <w:r w:rsidR="0014003A" w:rsidRPr="0014003A">
        <w:rPr>
          <w:b/>
          <w:sz w:val="24"/>
          <w:szCs w:val="24"/>
        </w:rPr>
        <w:t>ontinued increase in spending is driven by both the costly EEP and the need for scaling up investment in the energy sector</w:t>
      </w:r>
      <w:r w:rsidR="0014003A">
        <w:rPr>
          <w:sz w:val="24"/>
          <w:szCs w:val="24"/>
        </w:rPr>
        <w:t xml:space="preserve">.  </w:t>
      </w:r>
      <w:r w:rsidR="00886AA2" w:rsidRPr="00F17019">
        <w:rPr>
          <w:sz w:val="24"/>
          <w:szCs w:val="24"/>
        </w:rPr>
        <w:t xml:space="preserve">In the short term, the growth </w:t>
      </w:r>
      <w:r w:rsidR="00F17019">
        <w:rPr>
          <w:sz w:val="24"/>
          <w:szCs w:val="24"/>
        </w:rPr>
        <w:t xml:space="preserve">in sector spending </w:t>
      </w:r>
      <w:r w:rsidR="00886AA2" w:rsidRPr="00F17019">
        <w:rPr>
          <w:sz w:val="24"/>
          <w:szCs w:val="24"/>
        </w:rPr>
        <w:t xml:space="preserve">is driven by the costly Emergency Power Program (EPP) introduced in August 2011 in response to the power shortage due to poor rainfalls in </w:t>
      </w:r>
      <w:r w:rsidR="00BF3BD2">
        <w:rPr>
          <w:sz w:val="24"/>
          <w:szCs w:val="24"/>
        </w:rPr>
        <w:t xml:space="preserve">late </w:t>
      </w:r>
      <w:r w:rsidR="00886AA2" w:rsidRPr="00F17019">
        <w:rPr>
          <w:sz w:val="24"/>
          <w:szCs w:val="24"/>
        </w:rPr>
        <w:t>201</w:t>
      </w:r>
      <w:r w:rsidR="00BF3BD2">
        <w:rPr>
          <w:sz w:val="24"/>
          <w:szCs w:val="24"/>
        </w:rPr>
        <w:t>0</w:t>
      </w:r>
      <w:r w:rsidR="00F17019">
        <w:rPr>
          <w:sz w:val="24"/>
          <w:szCs w:val="24"/>
        </w:rPr>
        <w:t xml:space="preserve">. </w:t>
      </w:r>
      <w:r w:rsidR="00886AA2" w:rsidRPr="00F17019">
        <w:rPr>
          <w:sz w:val="24"/>
          <w:szCs w:val="24"/>
        </w:rPr>
        <w:t>The medium term trend corroborates with the Government’s inten</w:t>
      </w:r>
      <w:r w:rsidR="000C2496">
        <w:rPr>
          <w:sz w:val="24"/>
          <w:szCs w:val="24"/>
        </w:rPr>
        <w:t>t</w:t>
      </w:r>
      <w:r w:rsidR="00886AA2" w:rsidRPr="00F17019">
        <w:rPr>
          <w:sz w:val="24"/>
          <w:szCs w:val="24"/>
        </w:rPr>
        <w:t>ion to scale up public investments in the energy sector in line with MKUKUTA II, FYDP, and more recently by the BRN initiative.  Going forward, the Government is committed to scale up the investment program under the BRN Energy KRA.  One key challenge is how to ensure timely and fiscally sound implement</w:t>
      </w:r>
      <w:r w:rsidR="0014003A">
        <w:rPr>
          <w:sz w:val="24"/>
          <w:szCs w:val="24"/>
        </w:rPr>
        <w:t xml:space="preserve">ation of </w:t>
      </w:r>
      <w:r w:rsidR="00886AA2" w:rsidRPr="00F17019">
        <w:rPr>
          <w:sz w:val="24"/>
          <w:szCs w:val="24"/>
        </w:rPr>
        <w:t>the program</w:t>
      </w:r>
      <w:r w:rsidR="0014003A">
        <w:rPr>
          <w:sz w:val="24"/>
          <w:szCs w:val="24"/>
        </w:rPr>
        <w:t>. If</w:t>
      </w:r>
      <w:r w:rsidR="00886AA2" w:rsidRPr="00F17019">
        <w:rPr>
          <w:sz w:val="24"/>
          <w:szCs w:val="24"/>
        </w:rPr>
        <w:t xml:space="preserve"> implemented successfully, </w:t>
      </w:r>
      <w:r w:rsidR="0014003A">
        <w:rPr>
          <w:sz w:val="24"/>
          <w:szCs w:val="24"/>
        </w:rPr>
        <w:t xml:space="preserve">the program </w:t>
      </w:r>
      <w:r w:rsidR="00886AA2" w:rsidRPr="00F17019">
        <w:rPr>
          <w:sz w:val="24"/>
          <w:szCs w:val="24"/>
        </w:rPr>
        <w:t>would lead to transform</w:t>
      </w:r>
      <w:r w:rsidR="00E843CA">
        <w:rPr>
          <w:sz w:val="24"/>
          <w:szCs w:val="24"/>
        </w:rPr>
        <w:t>ation of</w:t>
      </w:r>
      <w:r w:rsidR="00886AA2" w:rsidRPr="00F17019">
        <w:rPr>
          <w:sz w:val="24"/>
          <w:szCs w:val="24"/>
        </w:rPr>
        <w:t xml:space="preserve"> the sector to a lower-cost structure using cheaper gas-based power generation. </w:t>
      </w:r>
    </w:p>
    <w:p w:rsidR="00886AA2" w:rsidRDefault="00886AA2" w:rsidP="00886AA2">
      <w:pPr>
        <w:spacing w:after="0" w:line="240" w:lineRule="auto"/>
        <w:contextualSpacing/>
        <w:mirrorIndents/>
        <w:jc w:val="both"/>
        <w:rPr>
          <w:sz w:val="24"/>
          <w:szCs w:val="24"/>
        </w:rPr>
      </w:pPr>
    </w:p>
    <w:p w:rsidR="00C56446" w:rsidRPr="00C56446" w:rsidRDefault="00C827C1" w:rsidP="00C56446">
      <w:pPr>
        <w:numPr>
          <w:ilvl w:val="0"/>
          <w:numId w:val="30"/>
        </w:numPr>
        <w:tabs>
          <w:tab w:val="num" w:pos="720"/>
        </w:tabs>
        <w:spacing w:after="0" w:line="240" w:lineRule="auto"/>
        <w:ind w:left="0" w:firstLine="0"/>
        <w:contextualSpacing/>
        <w:mirrorIndents/>
        <w:jc w:val="both"/>
        <w:rPr>
          <w:sz w:val="24"/>
          <w:szCs w:val="24"/>
        </w:rPr>
      </w:pPr>
      <w:r>
        <w:rPr>
          <w:b/>
          <w:sz w:val="24"/>
          <w:szCs w:val="24"/>
        </w:rPr>
        <w:t>The e</w:t>
      </w:r>
      <w:r w:rsidR="00F10A0C" w:rsidRPr="00F10A0C">
        <w:rPr>
          <w:b/>
          <w:sz w:val="24"/>
          <w:szCs w:val="24"/>
        </w:rPr>
        <w:t>nergy sector remains in financial</w:t>
      </w:r>
      <w:r w:rsidR="00C65856">
        <w:rPr>
          <w:b/>
          <w:sz w:val="24"/>
          <w:szCs w:val="24"/>
        </w:rPr>
        <w:t xml:space="preserve"> distress</w:t>
      </w:r>
      <w:r w:rsidR="00F10A0C">
        <w:rPr>
          <w:sz w:val="24"/>
          <w:szCs w:val="24"/>
        </w:rPr>
        <w:t xml:space="preserve">. </w:t>
      </w:r>
      <w:r w:rsidR="00886AA2" w:rsidRPr="005A658E">
        <w:rPr>
          <w:sz w:val="24"/>
          <w:szCs w:val="24"/>
        </w:rPr>
        <w:t>TANESCO continues to face financial difficulty and, as shown in the size of transfers from the Government</w:t>
      </w:r>
      <w:r w:rsidR="00F10A0C">
        <w:rPr>
          <w:sz w:val="24"/>
          <w:szCs w:val="24"/>
        </w:rPr>
        <w:t xml:space="preserve"> </w:t>
      </w:r>
      <w:r w:rsidR="00C65856">
        <w:rPr>
          <w:sz w:val="24"/>
          <w:szCs w:val="24"/>
        </w:rPr>
        <w:t>budget</w:t>
      </w:r>
      <w:r>
        <w:rPr>
          <w:sz w:val="24"/>
          <w:szCs w:val="24"/>
        </w:rPr>
        <w:t>,</w:t>
      </w:r>
      <w:r w:rsidR="00C65856">
        <w:rPr>
          <w:sz w:val="24"/>
          <w:szCs w:val="24"/>
        </w:rPr>
        <w:t xml:space="preserve"> </w:t>
      </w:r>
      <w:r w:rsidR="00886AA2" w:rsidRPr="005A658E">
        <w:rPr>
          <w:sz w:val="24"/>
          <w:szCs w:val="24"/>
        </w:rPr>
        <w:t xml:space="preserve">it carries </w:t>
      </w:r>
      <w:r>
        <w:rPr>
          <w:sz w:val="24"/>
          <w:szCs w:val="24"/>
        </w:rPr>
        <w:t xml:space="preserve">a </w:t>
      </w:r>
      <w:r w:rsidR="00886AA2" w:rsidRPr="005A658E">
        <w:rPr>
          <w:sz w:val="24"/>
          <w:szCs w:val="24"/>
        </w:rPr>
        <w:t xml:space="preserve">substantial financial burden and risks </w:t>
      </w:r>
      <w:r>
        <w:rPr>
          <w:sz w:val="24"/>
          <w:szCs w:val="24"/>
        </w:rPr>
        <w:t>for</w:t>
      </w:r>
      <w:r w:rsidR="00886AA2" w:rsidRPr="005A658E">
        <w:rPr>
          <w:sz w:val="24"/>
          <w:szCs w:val="24"/>
        </w:rPr>
        <w:t xml:space="preserve"> the Government’s fiscal framework.  Before the </w:t>
      </w:r>
      <w:proofErr w:type="spellStart"/>
      <w:r w:rsidR="00886AA2" w:rsidRPr="005A658E">
        <w:rPr>
          <w:sz w:val="24"/>
          <w:szCs w:val="24"/>
        </w:rPr>
        <w:t>GoT</w:t>
      </w:r>
      <w:proofErr w:type="spellEnd"/>
      <w:r w:rsidR="00886AA2" w:rsidRPr="005A658E">
        <w:rPr>
          <w:sz w:val="24"/>
          <w:szCs w:val="24"/>
        </w:rPr>
        <w:t xml:space="preserve"> transfers, TANESCO made about $240 million operational loss</w:t>
      </w:r>
      <w:r>
        <w:rPr>
          <w:sz w:val="24"/>
          <w:szCs w:val="24"/>
        </w:rPr>
        <w:t>es</w:t>
      </w:r>
      <w:r w:rsidR="00886AA2" w:rsidRPr="005A658E">
        <w:rPr>
          <w:sz w:val="24"/>
          <w:szCs w:val="24"/>
        </w:rPr>
        <w:t xml:space="preserve"> in 2012 and is projected to have slightly higher loss</w:t>
      </w:r>
      <w:r>
        <w:rPr>
          <w:sz w:val="24"/>
          <w:szCs w:val="24"/>
        </w:rPr>
        <w:t>es</w:t>
      </w:r>
      <w:r w:rsidR="00886AA2" w:rsidRPr="005A658E">
        <w:rPr>
          <w:sz w:val="24"/>
          <w:szCs w:val="24"/>
        </w:rPr>
        <w:t xml:space="preserve"> in 2013 based on the preliminary estimation by the World Bank.  The Government’s transfers were used to finance about half of the operational loss in 2012.  TANESCO has also borrowed commercially to finance the loss, which adds burden to its financial sustainability in the long run.  On the other hand, there are some signs of improvements as reflected in the reduction in the size of arrears from $276 million at the end of December 2012 to $167 million at the end of September 2013.  The data from</w:t>
      </w:r>
      <w:r>
        <w:rPr>
          <w:sz w:val="24"/>
          <w:szCs w:val="24"/>
        </w:rPr>
        <w:t xml:space="preserve"> the</w:t>
      </w:r>
      <w:r w:rsidR="00886AA2" w:rsidRPr="005A658E">
        <w:rPr>
          <w:sz w:val="24"/>
          <w:szCs w:val="24"/>
        </w:rPr>
        <w:t xml:space="preserve"> first eight months of 2013 show an improvement in revenue collection compared to 2012, which is driven by efficiency improvements rather than a tariff increase.  </w:t>
      </w:r>
    </w:p>
    <w:p w:rsidR="00B3649F" w:rsidRDefault="00B3649F" w:rsidP="00B3649F">
      <w:pPr>
        <w:pStyle w:val="ListParagraph"/>
        <w:spacing w:after="0" w:line="240" w:lineRule="auto"/>
        <w:ind w:left="0"/>
        <w:mirrorIndents/>
        <w:jc w:val="both"/>
        <w:rPr>
          <w:rFonts w:cs="Times New Roman"/>
          <w:b/>
          <w:sz w:val="24"/>
          <w:szCs w:val="24"/>
        </w:rPr>
      </w:pPr>
    </w:p>
    <w:p w:rsidR="00B3649F" w:rsidRPr="00FD6CBA" w:rsidRDefault="00B3649F" w:rsidP="00B3649F">
      <w:pPr>
        <w:pStyle w:val="ListParagraph"/>
        <w:numPr>
          <w:ilvl w:val="0"/>
          <w:numId w:val="14"/>
        </w:numPr>
        <w:spacing w:after="0" w:line="240" w:lineRule="auto"/>
        <w:ind w:left="0" w:firstLine="0"/>
        <w:mirrorIndents/>
        <w:jc w:val="both"/>
        <w:rPr>
          <w:rFonts w:cs="Times New Roman"/>
          <w:b/>
          <w:sz w:val="24"/>
          <w:szCs w:val="24"/>
        </w:rPr>
      </w:pPr>
      <w:r>
        <w:rPr>
          <w:rFonts w:cs="Times New Roman"/>
          <w:b/>
          <w:sz w:val="24"/>
          <w:szCs w:val="24"/>
        </w:rPr>
        <w:t>Gender</w:t>
      </w:r>
    </w:p>
    <w:p w:rsidR="00B3649F" w:rsidRPr="00E7251D" w:rsidRDefault="00B3649F" w:rsidP="00B3649F">
      <w:pPr>
        <w:spacing w:after="0" w:line="240" w:lineRule="auto"/>
        <w:contextualSpacing/>
        <w:mirrorIndents/>
        <w:jc w:val="both"/>
        <w:rPr>
          <w:rFonts w:cstheme="minorHAnsi"/>
          <w:sz w:val="24"/>
          <w:szCs w:val="24"/>
        </w:rPr>
      </w:pPr>
    </w:p>
    <w:p w:rsidR="00B3649F" w:rsidRPr="004F5D72" w:rsidRDefault="00976D63" w:rsidP="00B3649F">
      <w:pPr>
        <w:numPr>
          <w:ilvl w:val="0"/>
          <w:numId w:val="30"/>
        </w:numPr>
        <w:tabs>
          <w:tab w:val="num" w:pos="720"/>
        </w:tabs>
        <w:spacing w:after="0" w:line="240" w:lineRule="auto"/>
        <w:ind w:left="0" w:firstLine="0"/>
        <w:contextualSpacing/>
        <w:mirrorIndents/>
        <w:jc w:val="both"/>
        <w:rPr>
          <w:rFonts w:cs="Calibri"/>
          <w:sz w:val="24"/>
          <w:szCs w:val="24"/>
        </w:rPr>
      </w:pPr>
      <w:r>
        <w:rPr>
          <w:rFonts w:cstheme="minorHAnsi"/>
          <w:b/>
          <w:sz w:val="24"/>
          <w:szCs w:val="24"/>
        </w:rPr>
        <w:t>There is l</w:t>
      </w:r>
      <w:r w:rsidRPr="00976D63">
        <w:rPr>
          <w:rFonts w:cstheme="minorHAnsi"/>
          <w:b/>
          <w:sz w:val="24"/>
          <w:szCs w:val="24"/>
        </w:rPr>
        <w:t>imited information on gender dimensions in the budget</w:t>
      </w:r>
      <w:r>
        <w:rPr>
          <w:rFonts w:cstheme="minorHAnsi"/>
          <w:sz w:val="24"/>
          <w:szCs w:val="24"/>
        </w:rPr>
        <w:t xml:space="preserve">.  </w:t>
      </w:r>
      <w:r w:rsidR="00B3649F" w:rsidRPr="004F5D72">
        <w:rPr>
          <w:rFonts w:cstheme="minorHAnsi"/>
          <w:sz w:val="24"/>
          <w:szCs w:val="24"/>
        </w:rPr>
        <w:t>The</w:t>
      </w:r>
      <w:r w:rsidR="00B3649F" w:rsidRPr="004F5D72">
        <w:rPr>
          <w:rFonts w:cs="Calibri"/>
          <w:sz w:val="24"/>
          <w:szCs w:val="24"/>
        </w:rPr>
        <w:t xml:space="preserve"> </w:t>
      </w:r>
      <w:r>
        <w:rPr>
          <w:rFonts w:cs="Calibri"/>
          <w:sz w:val="24"/>
          <w:szCs w:val="24"/>
        </w:rPr>
        <w:t>available</w:t>
      </w:r>
      <w:r w:rsidR="00C827C1">
        <w:rPr>
          <w:rFonts w:cs="Calibri"/>
          <w:sz w:val="24"/>
          <w:szCs w:val="24"/>
        </w:rPr>
        <w:t xml:space="preserve"> data</w:t>
      </w:r>
      <w:r>
        <w:rPr>
          <w:rFonts w:cs="Calibri"/>
          <w:sz w:val="24"/>
          <w:szCs w:val="24"/>
        </w:rPr>
        <w:t xml:space="preserve"> from </w:t>
      </w:r>
      <w:r w:rsidR="00B3649F" w:rsidRPr="004F5D72">
        <w:rPr>
          <w:rFonts w:cs="Calibri"/>
          <w:sz w:val="24"/>
          <w:szCs w:val="24"/>
        </w:rPr>
        <w:t xml:space="preserve">the 2013/14 budget </w:t>
      </w:r>
      <w:r>
        <w:rPr>
          <w:rFonts w:cs="Calibri"/>
          <w:sz w:val="24"/>
          <w:szCs w:val="24"/>
        </w:rPr>
        <w:t>do</w:t>
      </w:r>
      <w:r w:rsidR="00C827C1">
        <w:rPr>
          <w:rFonts w:cs="Calibri"/>
          <w:sz w:val="24"/>
          <w:szCs w:val="24"/>
        </w:rPr>
        <w:t>es</w:t>
      </w:r>
      <w:r>
        <w:rPr>
          <w:rFonts w:cs="Calibri"/>
          <w:sz w:val="24"/>
          <w:szCs w:val="24"/>
        </w:rPr>
        <w:t xml:space="preserve"> not provided s</w:t>
      </w:r>
      <w:r w:rsidR="00B3649F" w:rsidRPr="004F5D72">
        <w:rPr>
          <w:rFonts w:cs="Calibri"/>
          <w:sz w:val="24"/>
          <w:szCs w:val="24"/>
        </w:rPr>
        <w:t>ufficient</w:t>
      </w:r>
      <w:r>
        <w:rPr>
          <w:rFonts w:cs="Calibri"/>
          <w:sz w:val="24"/>
          <w:szCs w:val="24"/>
        </w:rPr>
        <w:t xml:space="preserve"> information</w:t>
      </w:r>
      <w:r w:rsidR="00B3649F" w:rsidRPr="004F5D72">
        <w:rPr>
          <w:rFonts w:cs="Calibri"/>
          <w:sz w:val="24"/>
          <w:szCs w:val="24"/>
        </w:rPr>
        <w:t xml:space="preserve"> to </w:t>
      </w:r>
      <w:r>
        <w:rPr>
          <w:rFonts w:cs="Calibri"/>
          <w:sz w:val="24"/>
          <w:szCs w:val="24"/>
        </w:rPr>
        <w:t>track gender dimensions.</w:t>
      </w:r>
      <w:r w:rsidR="00B3649F" w:rsidRPr="004F5D72">
        <w:rPr>
          <w:rFonts w:cs="Calibri"/>
          <w:sz w:val="24"/>
          <w:szCs w:val="24"/>
        </w:rPr>
        <w:t xml:space="preserve"> Not only is there limited information on how the transfers to local government authorities (accounting for</w:t>
      </w:r>
      <w:r>
        <w:rPr>
          <w:rFonts w:cs="Calibri"/>
          <w:sz w:val="24"/>
          <w:szCs w:val="24"/>
        </w:rPr>
        <w:t xml:space="preserve"> around</w:t>
      </w:r>
      <w:r w:rsidR="00B3649F" w:rsidRPr="004F5D72">
        <w:rPr>
          <w:rFonts w:cs="Calibri"/>
          <w:sz w:val="24"/>
          <w:szCs w:val="24"/>
        </w:rPr>
        <w:t xml:space="preserve"> 20</w:t>
      </w:r>
      <w:r>
        <w:rPr>
          <w:rFonts w:cs="Calibri"/>
          <w:sz w:val="24"/>
          <w:szCs w:val="24"/>
        </w:rPr>
        <w:t xml:space="preserve"> percent</w:t>
      </w:r>
      <w:r w:rsidR="00B3649F" w:rsidRPr="004F5D72">
        <w:rPr>
          <w:rFonts w:cs="Calibri"/>
          <w:sz w:val="24"/>
          <w:szCs w:val="24"/>
        </w:rPr>
        <w:t xml:space="preserve"> </w:t>
      </w:r>
      <w:r>
        <w:rPr>
          <w:rFonts w:cs="Calibri"/>
          <w:sz w:val="24"/>
          <w:szCs w:val="24"/>
        </w:rPr>
        <w:t xml:space="preserve">of </w:t>
      </w:r>
      <w:r w:rsidR="00B3649F" w:rsidRPr="004F5D72">
        <w:rPr>
          <w:rFonts w:cs="Calibri"/>
          <w:sz w:val="24"/>
          <w:szCs w:val="24"/>
        </w:rPr>
        <w:t xml:space="preserve">the </w:t>
      </w:r>
      <w:r>
        <w:rPr>
          <w:rFonts w:cs="Calibri"/>
          <w:sz w:val="24"/>
          <w:szCs w:val="24"/>
        </w:rPr>
        <w:t xml:space="preserve">total </w:t>
      </w:r>
      <w:r w:rsidR="00B3649F" w:rsidRPr="004F5D72">
        <w:rPr>
          <w:rFonts w:cs="Calibri"/>
          <w:sz w:val="24"/>
          <w:szCs w:val="24"/>
        </w:rPr>
        <w:t xml:space="preserve">budget) are used but for central government allocations to sectors, gender information can only be inferred. For example, it might be suggested that the large allocation for National Food Security is potentially positive from a gender perspective to the extent that women are more likely than men to be poor and thus food-insecure, and because women tend to bear more responsibility for ensuring that their families are fed than men. </w:t>
      </w:r>
      <w:r w:rsidR="00B029FB">
        <w:rPr>
          <w:rFonts w:cs="Calibri"/>
          <w:sz w:val="24"/>
          <w:szCs w:val="24"/>
        </w:rPr>
        <w:t>Apart from this, t</w:t>
      </w:r>
      <w:r w:rsidR="00B029FB" w:rsidRPr="004F5D72">
        <w:rPr>
          <w:rFonts w:cs="Calibri"/>
          <w:sz w:val="24"/>
          <w:szCs w:val="24"/>
        </w:rPr>
        <w:t>he analysis reveals that extremely small amounts are allocated specifically for “gender” or “women” within the Go</w:t>
      </w:r>
      <w:r w:rsidR="003A04DD">
        <w:rPr>
          <w:rFonts w:cs="Calibri"/>
          <w:sz w:val="24"/>
          <w:szCs w:val="24"/>
        </w:rPr>
        <w:t>vernment</w:t>
      </w:r>
      <w:r w:rsidR="00B029FB" w:rsidRPr="004F5D72">
        <w:rPr>
          <w:rFonts w:cs="Calibri"/>
          <w:sz w:val="24"/>
          <w:szCs w:val="24"/>
        </w:rPr>
        <w:t xml:space="preserve"> budget.</w:t>
      </w:r>
    </w:p>
    <w:p w:rsidR="00B3649F" w:rsidRPr="001E50CB" w:rsidRDefault="00B3649F" w:rsidP="001E50CB">
      <w:pPr>
        <w:spacing w:after="0" w:line="240" w:lineRule="auto"/>
        <w:rPr>
          <w:rFonts w:cs="Calibri"/>
          <w:sz w:val="24"/>
          <w:szCs w:val="24"/>
        </w:rPr>
      </w:pPr>
    </w:p>
    <w:p w:rsidR="00F22AB3" w:rsidRDefault="00B029FB" w:rsidP="00B3649F">
      <w:pPr>
        <w:numPr>
          <w:ilvl w:val="0"/>
          <w:numId w:val="30"/>
        </w:numPr>
        <w:tabs>
          <w:tab w:val="num" w:pos="720"/>
        </w:tabs>
        <w:spacing w:after="0" w:line="240" w:lineRule="auto"/>
        <w:ind w:left="0" w:firstLine="0"/>
        <w:contextualSpacing/>
        <w:mirrorIndents/>
        <w:jc w:val="both"/>
        <w:rPr>
          <w:rFonts w:cs="Calibri"/>
          <w:sz w:val="24"/>
          <w:szCs w:val="24"/>
        </w:rPr>
      </w:pPr>
      <w:r w:rsidRPr="00B029FB">
        <w:rPr>
          <w:rFonts w:cs="Calibri"/>
          <w:b/>
          <w:sz w:val="24"/>
          <w:szCs w:val="24"/>
        </w:rPr>
        <w:t xml:space="preserve">There is </w:t>
      </w:r>
      <w:r>
        <w:rPr>
          <w:rFonts w:cs="Calibri"/>
          <w:b/>
          <w:sz w:val="24"/>
          <w:szCs w:val="24"/>
        </w:rPr>
        <w:t xml:space="preserve">a </w:t>
      </w:r>
      <w:r w:rsidRPr="00B029FB">
        <w:rPr>
          <w:rFonts w:cs="Calibri"/>
          <w:b/>
          <w:sz w:val="24"/>
          <w:szCs w:val="24"/>
        </w:rPr>
        <w:t>need for better capturing and monitoring of gender dimensions in the budget allocation and spending</w:t>
      </w:r>
      <w:r>
        <w:rPr>
          <w:rFonts w:cs="Calibri"/>
          <w:sz w:val="24"/>
          <w:szCs w:val="24"/>
        </w:rPr>
        <w:t xml:space="preserve">. </w:t>
      </w:r>
      <w:r w:rsidRPr="004F5D72">
        <w:rPr>
          <w:rFonts w:cs="Calibri"/>
          <w:sz w:val="24"/>
          <w:szCs w:val="24"/>
        </w:rPr>
        <w:t xml:space="preserve">One way of doing this is to develop a standardised format for a “gender budget statement” that government agencies then use to report on the gender implications of their </w:t>
      </w:r>
      <w:r>
        <w:rPr>
          <w:rFonts w:cs="Calibri"/>
          <w:sz w:val="24"/>
          <w:szCs w:val="24"/>
        </w:rPr>
        <w:t xml:space="preserve">budgets and spending. However, this needs the Government </w:t>
      </w:r>
      <w:r w:rsidRPr="004F5D72">
        <w:rPr>
          <w:rFonts w:cs="Calibri"/>
          <w:sz w:val="24"/>
          <w:szCs w:val="24"/>
        </w:rPr>
        <w:t>commitm</w:t>
      </w:r>
      <w:r>
        <w:rPr>
          <w:rFonts w:cs="Calibri"/>
          <w:sz w:val="24"/>
          <w:szCs w:val="24"/>
        </w:rPr>
        <w:t>ent to inform gender budgeting and reporting</w:t>
      </w:r>
      <w:r w:rsidR="00B3649F" w:rsidRPr="004F5D72">
        <w:rPr>
          <w:rFonts w:cs="Calibri"/>
          <w:sz w:val="24"/>
          <w:szCs w:val="24"/>
        </w:rPr>
        <w:t xml:space="preserve">. </w:t>
      </w:r>
    </w:p>
    <w:p w:rsidR="00B3649F" w:rsidRDefault="00B3649F" w:rsidP="00B3649F">
      <w:pPr>
        <w:spacing w:after="0" w:line="240" w:lineRule="auto"/>
        <w:mirrorIndents/>
        <w:jc w:val="both"/>
        <w:rPr>
          <w:rFonts w:cs="Times New Roman"/>
          <w:sz w:val="24"/>
          <w:szCs w:val="24"/>
        </w:rPr>
      </w:pPr>
    </w:p>
    <w:p w:rsidR="008C1DC9" w:rsidRDefault="008C1DC9" w:rsidP="00B3649F">
      <w:pPr>
        <w:spacing w:after="0" w:line="240" w:lineRule="auto"/>
        <w:mirrorIndents/>
        <w:jc w:val="both"/>
        <w:rPr>
          <w:rFonts w:cs="Times New Roman"/>
          <w:sz w:val="24"/>
          <w:szCs w:val="24"/>
        </w:rPr>
      </w:pPr>
      <w:bookmarkStart w:id="19" w:name="_GoBack"/>
      <w:bookmarkEnd w:id="19"/>
    </w:p>
    <w:p w:rsidR="00A017B3" w:rsidRPr="00393A92" w:rsidRDefault="00A017B3" w:rsidP="00393A92">
      <w:pPr>
        <w:pStyle w:val="ListParagraph"/>
        <w:numPr>
          <w:ilvl w:val="0"/>
          <w:numId w:val="29"/>
        </w:numPr>
        <w:spacing w:after="0" w:line="240" w:lineRule="auto"/>
        <w:ind w:left="0" w:firstLine="0"/>
        <w:mirrorIndents/>
        <w:jc w:val="both"/>
        <w:rPr>
          <w:rFonts w:cs="Times New Roman"/>
          <w:b/>
          <w:sz w:val="28"/>
          <w:szCs w:val="28"/>
        </w:rPr>
      </w:pPr>
      <w:r w:rsidRPr="00393A92">
        <w:rPr>
          <w:rFonts w:cs="Times New Roman"/>
          <w:b/>
          <w:sz w:val="28"/>
          <w:szCs w:val="28"/>
        </w:rPr>
        <w:t xml:space="preserve">CONCLUSIONS AND POTENTIAL </w:t>
      </w:r>
      <w:r w:rsidR="00811B79" w:rsidRPr="00393A92">
        <w:rPr>
          <w:rFonts w:cs="Times New Roman"/>
          <w:b/>
          <w:sz w:val="28"/>
          <w:szCs w:val="28"/>
        </w:rPr>
        <w:t>FISCAL RISKS</w:t>
      </w:r>
    </w:p>
    <w:p w:rsidR="00AB6375" w:rsidRPr="00393A92" w:rsidRDefault="00AB6375" w:rsidP="00393A92">
      <w:pPr>
        <w:spacing w:after="0" w:line="240" w:lineRule="auto"/>
        <w:contextualSpacing/>
        <w:mirrorIndents/>
        <w:jc w:val="both"/>
        <w:rPr>
          <w:rFonts w:cs="Calibri"/>
          <w:sz w:val="24"/>
          <w:szCs w:val="24"/>
        </w:rPr>
      </w:pPr>
    </w:p>
    <w:p w:rsidR="0053274A" w:rsidRPr="00393A92" w:rsidRDefault="00F51EEF" w:rsidP="00393A92">
      <w:pPr>
        <w:numPr>
          <w:ilvl w:val="0"/>
          <w:numId w:val="30"/>
        </w:numPr>
        <w:tabs>
          <w:tab w:val="num" w:pos="720"/>
        </w:tabs>
        <w:spacing w:after="0" w:line="240" w:lineRule="auto"/>
        <w:ind w:left="0" w:firstLine="0"/>
        <w:contextualSpacing/>
        <w:mirrorIndents/>
        <w:jc w:val="both"/>
        <w:rPr>
          <w:rFonts w:cs="Calibri"/>
          <w:sz w:val="24"/>
          <w:szCs w:val="24"/>
        </w:rPr>
      </w:pPr>
      <w:r w:rsidRPr="00393A92">
        <w:rPr>
          <w:rFonts w:cs="Calibri"/>
          <w:b/>
          <w:sz w:val="24"/>
          <w:szCs w:val="24"/>
        </w:rPr>
        <w:t xml:space="preserve">The </w:t>
      </w:r>
      <w:r w:rsidR="00373356" w:rsidRPr="00393A92">
        <w:rPr>
          <w:rFonts w:cs="Calibri"/>
          <w:b/>
          <w:sz w:val="24"/>
          <w:szCs w:val="24"/>
        </w:rPr>
        <w:t xml:space="preserve">slippage in </w:t>
      </w:r>
      <w:r w:rsidRPr="00393A92">
        <w:rPr>
          <w:rFonts w:cs="Calibri"/>
          <w:b/>
          <w:sz w:val="24"/>
          <w:szCs w:val="24"/>
        </w:rPr>
        <w:t xml:space="preserve">fiscal </w:t>
      </w:r>
      <w:r w:rsidR="00373356" w:rsidRPr="00393A92">
        <w:rPr>
          <w:rFonts w:cs="Calibri"/>
          <w:b/>
          <w:sz w:val="24"/>
          <w:szCs w:val="24"/>
        </w:rPr>
        <w:t xml:space="preserve">policy management </w:t>
      </w:r>
      <w:r w:rsidRPr="00393A92">
        <w:rPr>
          <w:rFonts w:cs="Calibri"/>
          <w:b/>
          <w:sz w:val="24"/>
          <w:szCs w:val="24"/>
        </w:rPr>
        <w:t xml:space="preserve">in 2012/13 was </w:t>
      </w:r>
      <w:r w:rsidR="005118CE" w:rsidRPr="00393A92">
        <w:rPr>
          <w:rFonts w:cs="Calibri"/>
          <w:b/>
          <w:sz w:val="24"/>
          <w:szCs w:val="24"/>
        </w:rPr>
        <w:t>significantly high;</w:t>
      </w:r>
      <w:r w:rsidRPr="00393A92">
        <w:rPr>
          <w:rFonts w:cs="Calibri"/>
          <w:b/>
          <w:sz w:val="24"/>
          <w:szCs w:val="24"/>
        </w:rPr>
        <w:t xml:space="preserve"> with</w:t>
      </w:r>
      <w:r w:rsidR="00D33224" w:rsidRPr="00393A92">
        <w:rPr>
          <w:rFonts w:cs="Calibri"/>
          <w:b/>
          <w:sz w:val="24"/>
          <w:szCs w:val="24"/>
        </w:rPr>
        <w:t xml:space="preserve"> the</w:t>
      </w:r>
      <w:r w:rsidRPr="00393A92">
        <w:rPr>
          <w:rFonts w:cs="Calibri"/>
          <w:b/>
          <w:sz w:val="24"/>
          <w:szCs w:val="24"/>
        </w:rPr>
        <w:t xml:space="preserve"> </w:t>
      </w:r>
      <w:r w:rsidR="00373356" w:rsidRPr="00393A92">
        <w:rPr>
          <w:rFonts w:cs="Calibri"/>
          <w:b/>
          <w:sz w:val="24"/>
          <w:szCs w:val="24"/>
        </w:rPr>
        <w:t xml:space="preserve">fiscal </w:t>
      </w:r>
      <w:r w:rsidRPr="00393A92">
        <w:rPr>
          <w:rFonts w:cs="Calibri"/>
          <w:b/>
          <w:sz w:val="24"/>
          <w:szCs w:val="24"/>
        </w:rPr>
        <w:t>deficit rising to 6.</w:t>
      </w:r>
      <w:r w:rsidR="005118CE" w:rsidRPr="00393A92">
        <w:rPr>
          <w:rFonts w:cs="Calibri"/>
          <w:b/>
          <w:sz w:val="24"/>
          <w:szCs w:val="24"/>
        </w:rPr>
        <w:t>2</w:t>
      </w:r>
      <w:r w:rsidRPr="00393A92">
        <w:rPr>
          <w:rFonts w:cs="Calibri"/>
          <w:b/>
          <w:sz w:val="24"/>
          <w:szCs w:val="24"/>
        </w:rPr>
        <w:t xml:space="preserve"> percent of </w:t>
      </w:r>
      <w:r w:rsidR="005118CE" w:rsidRPr="00393A92">
        <w:rPr>
          <w:rFonts w:cs="Calibri"/>
          <w:b/>
          <w:sz w:val="24"/>
          <w:szCs w:val="24"/>
        </w:rPr>
        <w:t xml:space="preserve">GDP while surpassing the </w:t>
      </w:r>
      <w:r w:rsidRPr="00393A92">
        <w:rPr>
          <w:rFonts w:cs="Calibri"/>
          <w:b/>
          <w:sz w:val="24"/>
          <w:szCs w:val="24"/>
        </w:rPr>
        <w:t>NDF ceiling by 1.</w:t>
      </w:r>
      <w:r w:rsidR="00F569B4">
        <w:rPr>
          <w:rFonts w:cs="Calibri"/>
          <w:b/>
          <w:sz w:val="24"/>
          <w:szCs w:val="24"/>
        </w:rPr>
        <w:t>3</w:t>
      </w:r>
      <w:r w:rsidRPr="00393A92">
        <w:rPr>
          <w:rFonts w:cs="Calibri"/>
          <w:b/>
          <w:sz w:val="24"/>
          <w:szCs w:val="24"/>
        </w:rPr>
        <w:t xml:space="preserve"> percent of GDP</w:t>
      </w:r>
      <w:r w:rsidRPr="00393A92">
        <w:rPr>
          <w:rFonts w:cs="Calibri"/>
          <w:sz w:val="24"/>
          <w:szCs w:val="24"/>
        </w:rPr>
        <w:t xml:space="preserve">.  </w:t>
      </w:r>
      <w:r w:rsidR="004B5BE0">
        <w:rPr>
          <w:rFonts w:cs="Calibri"/>
          <w:sz w:val="24"/>
          <w:szCs w:val="24"/>
        </w:rPr>
        <w:t xml:space="preserve">It is important that the </w:t>
      </w:r>
      <w:r w:rsidRPr="00393A92">
        <w:rPr>
          <w:rFonts w:cs="Calibri"/>
          <w:sz w:val="24"/>
          <w:szCs w:val="24"/>
        </w:rPr>
        <w:t xml:space="preserve">Government take steps to consolidate </w:t>
      </w:r>
      <w:r w:rsidR="00D33224" w:rsidRPr="00393A92">
        <w:rPr>
          <w:rFonts w:cs="Calibri"/>
          <w:sz w:val="24"/>
          <w:szCs w:val="24"/>
        </w:rPr>
        <w:t>their</w:t>
      </w:r>
      <w:r w:rsidRPr="00393A92">
        <w:rPr>
          <w:rFonts w:cs="Calibri"/>
          <w:sz w:val="24"/>
          <w:szCs w:val="24"/>
        </w:rPr>
        <w:t xml:space="preserve"> fiscal accounts, with a target of achieving fiscal deficit of 5.0 percent of GDP and staying within the NDF ceiling of not more than 1 percent of GDP. While it is important to </w:t>
      </w:r>
      <w:r w:rsidR="0053274A" w:rsidRPr="00393A92">
        <w:rPr>
          <w:rFonts w:cs="Calibri"/>
          <w:sz w:val="24"/>
          <w:szCs w:val="24"/>
        </w:rPr>
        <w:t>strengthen the fiscal accounts,</w:t>
      </w:r>
      <w:r w:rsidR="00D33224" w:rsidRPr="00393A92">
        <w:rPr>
          <w:rFonts w:cs="Calibri"/>
          <w:sz w:val="24"/>
          <w:szCs w:val="24"/>
        </w:rPr>
        <w:t xml:space="preserve"> there are significant fiscal risks on the horizon.</w:t>
      </w:r>
      <w:r w:rsidR="0053274A" w:rsidRPr="00393A92">
        <w:rPr>
          <w:rFonts w:cs="Calibri"/>
          <w:sz w:val="24"/>
          <w:szCs w:val="24"/>
        </w:rPr>
        <w:t xml:space="preserve"> </w:t>
      </w:r>
    </w:p>
    <w:p w:rsidR="0053274A" w:rsidRPr="00393A92" w:rsidRDefault="0053274A" w:rsidP="00393A92">
      <w:pPr>
        <w:spacing w:after="0" w:line="240" w:lineRule="auto"/>
        <w:contextualSpacing/>
        <w:mirrorIndents/>
        <w:jc w:val="both"/>
        <w:rPr>
          <w:rFonts w:cs="Calibri"/>
          <w:sz w:val="24"/>
          <w:szCs w:val="24"/>
        </w:rPr>
      </w:pPr>
    </w:p>
    <w:p w:rsidR="00811B79" w:rsidRPr="00393A92" w:rsidRDefault="00811B79" w:rsidP="00393A92">
      <w:pPr>
        <w:numPr>
          <w:ilvl w:val="0"/>
          <w:numId w:val="30"/>
        </w:numPr>
        <w:tabs>
          <w:tab w:val="num" w:pos="720"/>
        </w:tabs>
        <w:spacing w:after="0" w:line="240" w:lineRule="auto"/>
        <w:ind w:left="0" w:firstLine="0"/>
        <w:contextualSpacing/>
        <w:mirrorIndents/>
        <w:jc w:val="both"/>
        <w:rPr>
          <w:rFonts w:cs="Calibri"/>
          <w:sz w:val="24"/>
          <w:szCs w:val="24"/>
        </w:rPr>
      </w:pPr>
      <w:r w:rsidRPr="00393A92">
        <w:rPr>
          <w:rFonts w:cs="Calibri"/>
          <w:b/>
          <w:sz w:val="24"/>
          <w:szCs w:val="24"/>
        </w:rPr>
        <w:t>The first short term risk to</w:t>
      </w:r>
      <w:r w:rsidR="00D33224" w:rsidRPr="00393A92">
        <w:rPr>
          <w:rFonts w:cs="Calibri"/>
          <w:b/>
          <w:sz w:val="24"/>
          <w:szCs w:val="24"/>
        </w:rPr>
        <w:t xml:space="preserve"> the</w:t>
      </w:r>
      <w:r w:rsidRPr="00393A92">
        <w:rPr>
          <w:rFonts w:cs="Calibri"/>
          <w:b/>
          <w:sz w:val="24"/>
          <w:szCs w:val="24"/>
        </w:rPr>
        <w:t xml:space="preserve"> fiscal stance relates to shortfalls in revenue collection coupled with </w:t>
      </w:r>
      <w:r w:rsidR="00D33224" w:rsidRPr="00393A92">
        <w:rPr>
          <w:rFonts w:cs="Calibri"/>
          <w:b/>
          <w:sz w:val="24"/>
          <w:szCs w:val="24"/>
        </w:rPr>
        <w:t xml:space="preserve">the </w:t>
      </w:r>
      <w:r w:rsidRPr="00393A92">
        <w:rPr>
          <w:rFonts w:cs="Calibri"/>
          <w:b/>
          <w:sz w:val="24"/>
          <w:szCs w:val="24"/>
        </w:rPr>
        <w:t>implementation of action plans related to the BRN initiative</w:t>
      </w:r>
      <w:r w:rsidRPr="00393A92">
        <w:rPr>
          <w:rFonts w:cs="Calibri"/>
          <w:sz w:val="24"/>
          <w:szCs w:val="24"/>
        </w:rPr>
        <w:t xml:space="preserve">.   The 2013/14 budget is based on ambitious new tax measures which may prove difficult to fully implement. In this regard, if revenue collections </w:t>
      </w:r>
      <w:r w:rsidR="00D33224" w:rsidRPr="00393A92">
        <w:rPr>
          <w:rFonts w:cs="Calibri"/>
          <w:sz w:val="24"/>
          <w:szCs w:val="24"/>
        </w:rPr>
        <w:t xml:space="preserve">are </w:t>
      </w:r>
      <w:r w:rsidRPr="00393A92">
        <w:rPr>
          <w:rFonts w:cs="Calibri"/>
          <w:sz w:val="24"/>
          <w:szCs w:val="24"/>
        </w:rPr>
        <w:t xml:space="preserve">less than anticipated, the Government will need to reduce non-priority spending to achieve the targeted level of deficit. Furthermore, implementation of </w:t>
      </w:r>
      <w:r w:rsidR="00D33224" w:rsidRPr="00393A92">
        <w:rPr>
          <w:rFonts w:cs="Calibri"/>
          <w:sz w:val="24"/>
          <w:szCs w:val="24"/>
        </w:rPr>
        <w:t xml:space="preserve">the </w:t>
      </w:r>
      <w:r w:rsidRPr="00393A92">
        <w:rPr>
          <w:rFonts w:cs="Calibri"/>
          <w:sz w:val="24"/>
          <w:szCs w:val="24"/>
        </w:rPr>
        <w:t>BRN initiative action plans may require reallocation of spending or finding new source</w:t>
      </w:r>
      <w:r w:rsidR="00D33224" w:rsidRPr="00393A92">
        <w:rPr>
          <w:rFonts w:cs="Calibri"/>
          <w:sz w:val="24"/>
          <w:szCs w:val="24"/>
        </w:rPr>
        <w:t>s</w:t>
      </w:r>
      <w:r w:rsidRPr="00393A92">
        <w:rPr>
          <w:rFonts w:cs="Calibri"/>
          <w:sz w:val="24"/>
          <w:szCs w:val="24"/>
        </w:rPr>
        <w:t xml:space="preserve"> of revenue.  </w:t>
      </w:r>
      <w:r w:rsidR="00DC51EF">
        <w:rPr>
          <w:rFonts w:cs="Calibri"/>
          <w:sz w:val="24"/>
          <w:szCs w:val="24"/>
        </w:rPr>
        <w:t>However, this will be very unlikely in the current fiscal year given the fact that significant will be necessary to achieve the fiscal deficit target of 5 percent of GDP with substantial shortfall in domestic revenue collections already observed in first quarter of 2012/13.</w:t>
      </w:r>
    </w:p>
    <w:p w:rsidR="005C45D1" w:rsidRPr="00393A92" w:rsidRDefault="005C45D1" w:rsidP="00393A92">
      <w:pPr>
        <w:spacing w:after="0" w:line="240" w:lineRule="auto"/>
        <w:contextualSpacing/>
        <w:mirrorIndents/>
        <w:jc w:val="both"/>
        <w:rPr>
          <w:rFonts w:cs="Calibri"/>
          <w:sz w:val="24"/>
          <w:szCs w:val="24"/>
        </w:rPr>
      </w:pPr>
    </w:p>
    <w:p w:rsidR="00811B79" w:rsidRPr="00393A92" w:rsidRDefault="00811B79" w:rsidP="00393A92">
      <w:pPr>
        <w:numPr>
          <w:ilvl w:val="0"/>
          <w:numId w:val="30"/>
        </w:numPr>
        <w:tabs>
          <w:tab w:val="num" w:pos="720"/>
        </w:tabs>
        <w:spacing w:after="0" w:line="240" w:lineRule="auto"/>
        <w:ind w:left="0" w:firstLine="0"/>
        <w:contextualSpacing/>
        <w:mirrorIndents/>
        <w:jc w:val="both"/>
        <w:rPr>
          <w:rFonts w:cs="Calibri"/>
          <w:sz w:val="24"/>
          <w:szCs w:val="24"/>
        </w:rPr>
      </w:pPr>
      <w:r w:rsidRPr="00393A92">
        <w:rPr>
          <w:rFonts w:cs="Calibri"/>
          <w:b/>
          <w:sz w:val="24"/>
          <w:szCs w:val="24"/>
        </w:rPr>
        <w:t>Financial distress within the energy sector, especially TANECO, presents a second short term risk to the fiscal stance</w:t>
      </w:r>
      <w:r w:rsidRPr="00393A92">
        <w:rPr>
          <w:rFonts w:cs="Calibri"/>
          <w:sz w:val="24"/>
          <w:szCs w:val="24"/>
        </w:rPr>
        <w:t>. In the management of TANESCO’s financial difficulties, the Government is facing two inherent uncertainties. First, the magnitude of the projected gap in TANESCO, the value of which will amount to approximately USD 300 million every year over the next few years, will require decisive actions that might not be popular, including possible new tariff increases or budget reallocations involving significant cuts in other areas. Second, the size of the TANESCO deficit is itself sensitive to a number of factors outside of the Government’s control. For example, an increase in world oil prices will automatically lead to higher production costs and therefore to a higher TANESCO deficit. A combination of bad luck and delays in the implementation of the TANESCO action plan would add significant pressure to the Government’s fiscal accounts.</w:t>
      </w:r>
    </w:p>
    <w:p w:rsidR="005C45D1" w:rsidRPr="00393A92" w:rsidRDefault="005C45D1" w:rsidP="00393A92">
      <w:pPr>
        <w:spacing w:after="0" w:line="240" w:lineRule="auto"/>
        <w:contextualSpacing/>
        <w:mirrorIndents/>
        <w:jc w:val="both"/>
        <w:rPr>
          <w:rFonts w:cs="Calibri"/>
          <w:sz w:val="24"/>
          <w:szCs w:val="24"/>
        </w:rPr>
      </w:pPr>
    </w:p>
    <w:p w:rsidR="00811B79" w:rsidRPr="00393A92" w:rsidRDefault="00811B79" w:rsidP="00393A92">
      <w:pPr>
        <w:numPr>
          <w:ilvl w:val="0"/>
          <w:numId w:val="30"/>
        </w:numPr>
        <w:tabs>
          <w:tab w:val="num" w:pos="720"/>
        </w:tabs>
        <w:spacing w:after="0" w:line="240" w:lineRule="auto"/>
        <w:ind w:left="0" w:firstLine="0"/>
        <w:contextualSpacing/>
        <w:mirrorIndents/>
        <w:jc w:val="both"/>
        <w:rPr>
          <w:rFonts w:cs="Calibri"/>
          <w:sz w:val="24"/>
          <w:szCs w:val="24"/>
        </w:rPr>
      </w:pPr>
      <w:r w:rsidRPr="00393A92">
        <w:rPr>
          <w:rFonts w:cs="Calibri"/>
          <w:b/>
          <w:sz w:val="24"/>
          <w:szCs w:val="24"/>
        </w:rPr>
        <w:t>The third short term risk to the fiscal stance relates to the accumulation of arrears by the central Government</w:t>
      </w:r>
      <w:r w:rsidR="0053274A" w:rsidRPr="00393A92">
        <w:rPr>
          <w:rFonts w:cs="Calibri"/>
          <w:b/>
          <w:sz w:val="24"/>
          <w:szCs w:val="24"/>
        </w:rPr>
        <w:t>, estimated to be around 0.7 percent of GDP</w:t>
      </w:r>
      <w:r w:rsidR="006F2172">
        <w:rPr>
          <w:rFonts w:cs="Calibri"/>
          <w:b/>
          <w:sz w:val="24"/>
          <w:szCs w:val="24"/>
        </w:rPr>
        <w:t xml:space="preserve"> as of end June 2013</w:t>
      </w:r>
      <w:r w:rsidRPr="00393A92">
        <w:rPr>
          <w:rFonts w:cs="Calibri"/>
          <w:sz w:val="24"/>
          <w:szCs w:val="24"/>
        </w:rPr>
        <w:t>. To some extent debt and arrears are similar, as both are aimed at saving time by postponing payments. However, their burden is different, since debt is repaid by future taxpayers, while the brunt of the burden of arrears is borne by suppliers. As described earlier, the value of Government’s arrears has grown substantially during 2012/13, reaching almost Tanzania Shilling 650 billion at the end of December 2012. The high and growing level of government arrears described above fails to incorporate important categories of delayed payment by the State, in particular to pension funds. The value of these arrears is estimated to be in the region of Tanzania Shilling 1,200 billion as of December 2012. This is already significant, at equivalent to about 3 percent of GDP. However, the figure is expected to increase rapidly if the Government fails to act, underscoring the need for urgent reforms.</w:t>
      </w:r>
    </w:p>
    <w:p w:rsidR="005C45D1" w:rsidRPr="00393A92" w:rsidRDefault="005C45D1" w:rsidP="00393A92">
      <w:pPr>
        <w:spacing w:after="0" w:line="240" w:lineRule="auto"/>
        <w:contextualSpacing/>
        <w:mirrorIndents/>
        <w:jc w:val="both"/>
        <w:rPr>
          <w:rFonts w:cs="Calibri"/>
          <w:sz w:val="24"/>
          <w:szCs w:val="24"/>
        </w:rPr>
      </w:pPr>
    </w:p>
    <w:p w:rsidR="00811B79" w:rsidRDefault="00811B79" w:rsidP="00393A92">
      <w:pPr>
        <w:numPr>
          <w:ilvl w:val="0"/>
          <w:numId w:val="30"/>
        </w:numPr>
        <w:tabs>
          <w:tab w:val="num" w:pos="720"/>
        </w:tabs>
        <w:spacing w:after="0" w:line="240" w:lineRule="auto"/>
        <w:ind w:left="0" w:firstLine="0"/>
        <w:contextualSpacing/>
        <w:mirrorIndents/>
        <w:jc w:val="both"/>
        <w:rPr>
          <w:rFonts w:cs="Calibri"/>
          <w:sz w:val="24"/>
          <w:szCs w:val="24"/>
        </w:rPr>
      </w:pPr>
      <w:r w:rsidRPr="00393A92">
        <w:rPr>
          <w:rFonts w:cs="Calibri"/>
          <w:b/>
          <w:sz w:val="24"/>
          <w:szCs w:val="24"/>
        </w:rPr>
        <w:lastRenderedPageBreak/>
        <w:t xml:space="preserve">The fourth and final risk to the fiscal stance is linked to the government’s level of debt, the value of which stood at </w:t>
      </w:r>
      <w:r w:rsidR="003A2882" w:rsidRPr="00393A92">
        <w:rPr>
          <w:rFonts w:cs="Calibri"/>
          <w:b/>
          <w:sz w:val="24"/>
          <w:szCs w:val="24"/>
        </w:rPr>
        <w:t xml:space="preserve">around </w:t>
      </w:r>
      <w:r w:rsidRPr="00393A92">
        <w:rPr>
          <w:rFonts w:cs="Calibri"/>
          <w:b/>
          <w:sz w:val="24"/>
          <w:szCs w:val="24"/>
        </w:rPr>
        <w:t>4</w:t>
      </w:r>
      <w:r w:rsidR="003A2882" w:rsidRPr="00393A92">
        <w:rPr>
          <w:rFonts w:cs="Calibri"/>
          <w:b/>
          <w:sz w:val="24"/>
          <w:szCs w:val="24"/>
        </w:rPr>
        <w:t>3</w:t>
      </w:r>
      <w:r w:rsidRPr="00393A92">
        <w:rPr>
          <w:rFonts w:cs="Calibri"/>
          <w:b/>
          <w:sz w:val="24"/>
          <w:szCs w:val="24"/>
        </w:rPr>
        <w:t xml:space="preserve"> percent of GDP by </w:t>
      </w:r>
      <w:r w:rsidR="003A2882" w:rsidRPr="00393A92">
        <w:rPr>
          <w:rFonts w:cs="Calibri"/>
          <w:b/>
          <w:sz w:val="24"/>
          <w:szCs w:val="24"/>
        </w:rPr>
        <w:t>June 2013</w:t>
      </w:r>
      <w:r w:rsidRPr="00393A92">
        <w:rPr>
          <w:rFonts w:cs="Calibri"/>
          <w:sz w:val="24"/>
          <w:szCs w:val="24"/>
        </w:rPr>
        <w:t>. At first sight, this level appears acceptable by international standards, with a number of OECD countries having debt-to-GDP ratios in excess of 100 percent. However, the acceptable level of debt is determined by a country’s capacity to repay its accumulated debt over time. This capacity is limited for most developing countries, including Tanzania, because of the difficulty of refinancing its debt on financial markets at affordable cost and because of fiscal constraints. For this reason, a relatively prudent fiscal policy is justified for the near future. The Government is forecast to borrow externally on a non-concessional basis around USD 1.3 billion during the next two fiscal years, a sum sufficient to finance a number of new investment projects, while at the same time keeping its debt level to a sustainable level of 46.8 percent of GDP by the end of 2014/15.</w:t>
      </w:r>
    </w:p>
    <w:p w:rsidR="001E50CB" w:rsidRPr="001E50CB" w:rsidRDefault="001E50CB" w:rsidP="001E50CB">
      <w:pPr>
        <w:spacing w:after="0" w:line="240" w:lineRule="auto"/>
        <w:contextualSpacing/>
        <w:mirrorIndents/>
        <w:jc w:val="both"/>
        <w:rPr>
          <w:rFonts w:cs="Calibri"/>
          <w:sz w:val="24"/>
          <w:szCs w:val="24"/>
        </w:rPr>
      </w:pPr>
    </w:p>
    <w:p w:rsidR="00811B79" w:rsidRPr="00393A92" w:rsidRDefault="00811B79" w:rsidP="00393A92">
      <w:pPr>
        <w:numPr>
          <w:ilvl w:val="0"/>
          <w:numId w:val="30"/>
        </w:numPr>
        <w:tabs>
          <w:tab w:val="num" w:pos="720"/>
        </w:tabs>
        <w:spacing w:after="0" w:line="240" w:lineRule="auto"/>
        <w:ind w:left="0" w:firstLine="0"/>
        <w:contextualSpacing/>
        <w:mirrorIndents/>
        <w:jc w:val="both"/>
        <w:rPr>
          <w:rFonts w:cs="Calibri"/>
          <w:sz w:val="24"/>
          <w:szCs w:val="24"/>
        </w:rPr>
      </w:pPr>
      <w:r w:rsidRPr="00393A92">
        <w:rPr>
          <w:rFonts w:cs="Calibri"/>
          <w:b/>
          <w:sz w:val="24"/>
          <w:szCs w:val="24"/>
        </w:rPr>
        <w:t>However, keeping the level of debt to a manageable level requires close attention from the authorities</w:t>
      </w:r>
      <w:r w:rsidRPr="00393A92">
        <w:rPr>
          <w:rFonts w:cs="Calibri"/>
          <w:sz w:val="24"/>
          <w:szCs w:val="24"/>
        </w:rPr>
        <w:t>. Indeed, Tanzania’s infrastructure needs are so great that the Government might be tempted to borrow more to finance those projects, especially if the authorities fail to meet their ambitious revenue target in 2013/14 and 2014/15. This temptation might be exacerbated by pressures related to the forthcoming general elections and by the prospect of collecting additional revenues from natural gas in the future (which might be used in advance to guarantee commercial debt). The trade-off between prudent debt management and sustained public investment will have to be closely monitored in the coming years to ensure fiscal sustainability. The best means of achieving sound fiscal policy is through ensuring fiscal transparency.  The Tanzanian Government should move toward a consolidated presentation of their financial accounts, including those of the main parastatal agencies operating in the energy and mining sectors.</w:t>
      </w:r>
    </w:p>
    <w:p w:rsidR="005C45D1" w:rsidRPr="00393A92" w:rsidRDefault="005C45D1" w:rsidP="00393A92">
      <w:pPr>
        <w:spacing w:after="0" w:line="240" w:lineRule="auto"/>
        <w:contextualSpacing/>
        <w:mirrorIndents/>
        <w:jc w:val="both"/>
        <w:rPr>
          <w:rFonts w:cs="Calibri"/>
          <w:sz w:val="24"/>
          <w:szCs w:val="24"/>
        </w:rPr>
      </w:pPr>
    </w:p>
    <w:p w:rsidR="00A017B3" w:rsidRPr="00287D4D" w:rsidRDefault="00811B79" w:rsidP="000505C9">
      <w:pPr>
        <w:numPr>
          <w:ilvl w:val="0"/>
          <w:numId w:val="30"/>
        </w:numPr>
        <w:tabs>
          <w:tab w:val="num" w:pos="720"/>
        </w:tabs>
        <w:spacing w:after="0" w:line="240" w:lineRule="auto"/>
        <w:ind w:left="0" w:firstLine="0"/>
        <w:contextualSpacing/>
        <w:mirrorIndents/>
        <w:jc w:val="both"/>
        <w:rPr>
          <w:rFonts w:cs="Calibri"/>
          <w:sz w:val="24"/>
          <w:szCs w:val="24"/>
        </w:rPr>
      </w:pPr>
      <w:r w:rsidRPr="00393A92">
        <w:rPr>
          <w:rFonts w:cs="Calibri"/>
          <w:b/>
          <w:sz w:val="24"/>
          <w:szCs w:val="24"/>
        </w:rPr>
        <w:t>The economic prospects are also subject to external risks</w:t>
      </w:r>
      <w:r w:rsidRPr="00393A92">
        <w:rPr>
          <w:rFonts w:cs="Calibri"/>
          <w:sz w:val="24"/>
          <w:szCs w:val="24"/>
        </w:rPr>
        <w:t>. While the Tanzanian economy is not overexposed to global market volatility, it is not completely immune. Major fluctuations in commodity prices, notably gold and oil, will affect its trade balance. The magnitude and timing of anticipated FDI inflows in the natural gas sectors will also impact the local economy, especially in geographical areas where those investments will take place. The new investments are expected to be in the region of USD 4-5 billion per year. Even if the majority of these funds are used to purchase imported goods, as is likely, their magnitude will modify the current equilibrium in the domestic financial markets and possibly have an impact on exchange rates</w:t>
      </w:r>
      <w:r w:rsidR="000C1357">
        <w:rPr>
          <w:rFonts w:cs="Calibri"/>
          <w:sz w:val="24"/>
          <w:szCs w:val="24"/>
        </w:rPr>
        <w:t>.</w:t>
      </w:r>
      <w:r w:rsidRPr="00393A92">
        <w:rPr>
          <w:rFonts w:cs="Calibri"/>
          <w:sz w:val="24"/>
          <w:szCs w:val="24"/>
        </w:rPr>
        <w:t xml:space="preserve"> These potential impacts will have to be carefully managed by the authorities.</w:t>
      </w:r>
    </w:p>
    <w:sectPr w:rsidR="00A017B3" w:rsidRPr="00287D4D" w:rsidSect="008C1DC9">
      <w:footerReference w:type="default" r:id="rId3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266" w:rsidRDefault="00274266" w:rsidP="00A52962">
      <w:pPr>
        <w:spacing w:after="0" w:line="240" w:lineRule="auto"/>
      </w:pPr>
      <w:r>
        <w:separator/>
      </w:r>
    </w:p>
  </w:endnote>
  <w:endnote w:type="continuationSeparator" w:id="0">
    <w:p w:rsidR="00274266" w:rsidRDefault="00274266" w:rsidP="00A5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154509"/>
      <w:docPartObj>
        <w:docPartGallery w:val="Page Numbers (Bottom of Page)"/>
        <w:docPartUnique/>
      </w:docPartObj>
    </w:sdtPr>
    <w:sdtContent>
      <w:p w:rsidR="008C1DC9" w:rsidRDefault="008C1DC9" w:rsidP="008C1DC9">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8C1DC9" w:rsidRDefault="008C1D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720391"/>
      <w:docPartObj>
        <w:docPartGallery w:val="Page Numbers (Bottom of Page)"/>
        <w:docPartUnique/>
      </w:docPartObj>
    </w:sdtPr>
    <w:sdtContent>
      <w:p w:rsidR="008C1DC9" w:rsidRDefault="008C1DC9" w:rsidP="008C1DC9">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rsidR="008C1DC9" w:rsidRDefault="008C1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266" w:rsidRDefault="00274266" w:rsidP="00A52962">
      <w:pPr>
        <w:spacing w:after="0" w:line="240" w:lineRule="auto"/>
      </w:pPr>
      <w:r>
        <w:separator/>
      </w:r>
    </w:p>
  </w:footnote>
  <w:footnote w:type="continuationSeparator" w:id="0">
    <w:p w:rsidR="00274266" w:rsidRDefault="00274266" w:rsidP="00A52962">
      <w:pPr>
        <w:spacing w:after="0" w:line="240" w:lineRule="auto"/>
      </w:pPr>
      <w:r>
        <w:continuationSeparator/>
      </w:r>
    </w:p>
  </w:footnote>
  <w:footnote w:id="1">
    <w:p w:rsidR="00A141E6" w:rsidRDefault="00A141E6">
      <w:pPr>
        <w:pStyle w:val="FootnoteText"/>
      </w:pPr>
      <w:r>
        <w:rPr>
          <w:rStyle w:val="FootnoteReference"/>
        </w:rPr>
        <w:footnoteRef/>
      </w:r>
      <w:r>
        <w:t xml:space="preserve"> </w:t>
      </w:r>
      <w:r w:rsidRPr="005118CE">
        <w:rPr>
          <w:rFonts w:asciiTheme="minorHAnsi" w:hAnsiTheme="minorHAnsi"/>
        </w:rPr>
        <w:t>Under-spending and over-spending is measured by comparing expenditure outturn and original approved budget.</w:t>
      </w:r>
      <w:r>
        <w:t xml:space="preserve"> </w:t>
      </w:r>
    </w:p>
  </w:footnote>
  <w:footnote w:id="2">
    <w:p w:rsidR="00A141E6" w:rsidRDefault="00A141E6">
      <w:pPr>
        <w:pStyle w:val="FootnoteText"/>
      </w:pPr>
      <w:r>
        <w:rPr>
          <w:rStyle w:val="FootnoteReference"/>
        </w:rPr>
        <w:footnoteRef/>
      </w:r>
      <w:r>
        <w:t xml:space="preserve"> </w:t>
      </w:r>
      <w:r w:rsidRPr="005118CE">
        <w:rPr>
          <w:rFonts w:asciiTheme="minorHAnsi" w:hAnsiTheme="minorHAnsi"/>
        </w:rPr>
        <w:t>Wage bill here uses the broad definition which includes allowances and parastatal PE.</w:t>
      </w:r>
    </w:p>
  </w:footnote>
  <w:footnote w:id="3">
    <w:p w:rsidR="00061A94" w:rsidRDefault="00061A94" w:rsidP="00061A94">
      <w:pPr>
        <w:pStyle w:val="FootnoteText"/>
        <w:jc w:val="both"/>
      </w:pPr>
      <w:r>
        <w:rPr>
          <w:rStyle w:val="FootnoteReference"/>
        </w:rPr>
        <w:footnoteRef/>
      </w:r>
      <w:r>
        <w:t xml:space="preserve"> </w:t>
      </w:r>
      <w:r w:rsidRPr="004A3CE5">
        <w:rPr>
          <w:rFonts w:asciiTheme="minorHAnsi" w:hAnsiTheme="minorHAnsi"/>
        </w:rPr>
        <w:t>The comparison with 2012/13 is biased because the gas pipeline was not incorporated in the central government expenditures. If this project is included, the share of cluster 1 was equal to 40.4 percent of total approved budget in 2012/13.</w:t>
      </w:r>
    </w:p>
  </w:footnote>
  <w:footnote w:id="4">
    <w:p w:rsidR="00A141E6" w:rsidRDefault="00A141E6" w:rsidP="00C13D2D">
      <w:pPr>
        <w:pStyle w:val="FootnoteText"/>
      </w:pPr>
      <w:r w:rsidRPr="00BA065F">
        <w:rPr>
          <w:rStyle w:val="FootnoteReference"/>
          <w:rFonts w:asciiTheme="minorHAnsi" w:hAnsiTheme="minorHAnsi"/>
        </w:rPr>
        <w:footnoteRef/>
      </w:r>
      <w:r w:rsidRPr="00BA065F">
        <w:rPr>
          <w:rFonts w:asciiTheme="minorHAnsi" w:hAnsiTheme="minorHAnsi"/>
        </w:rPr>
        <w:t xml:space="preserve"> </w:t>
      </w:r>
      <w:r w:rsidR="00E369ED">
        <w:rPr>
          <w:rFonts w:asciiTheme="minorHAnsi" w:hAnsiTheme="minorHAnsi"/>
        </w:rPr>
        <w:t>Health sector is currently not included in the BRN National Key Results Areas.</w:t>
      </w:r>
      <w:r>
        <w:t xml:space="preserve"> </w:t>
      </w:r>
    </w:p>
  </w:footnote>
  <w:footnote w:id="5">
    <w:p w:rsidR="00E369ED" w:rsidRPr="00732ADD" w:rsidRDefault="00E369ED" w:rsidP="00E369ED">
      <w:pPr>
        <w:pStyle w:val="FootnoteText"/>
        <w:jc w:val="both"/>
        <w:rPr>
          <w:rFonts w:asciiTheme="minorHAnsi" w:hAnsiTheme="minorHAnsi"/>
          <w:lang w:val="en-GB"/>
        </w:rPr>
      </w:pPr>
      <w:r>
        <w:rPr>
          <w:rStyle w:val="FootnoteReference"/>
        </w:rPr>
        <w:footnoteRef/>
      </w:r>
      <w:r>
        <w:t xml:space="preserve"> </w:t>
      </w:r>
      <w:r w:rsidRPr="00732ADD">
        <w:rPr>
          <w:rFonts w:asciiTheme="minorHAnsi" w:hAnsiTheme="minorHAnsi"/>
          <w:lang w:val="en-GB"/>
        </w:rPr>
        <w:t>Note the Adult sub-sector also includes Non-formal education, Community Colleges and Folk training.</w:t>
      </w:r>
    </w:p>
  </w:footnote>
  <w:footnote w:id="6">
    <w:p w:rsidR="00A141E6" w:rsidRPr="00732ADD" w:rsidRDefault="00A141E6" w:rsidP="00B3649F">
      <w:pPr>
        <w:pStyle w:val="FootnoteText"/>
        <w:jc w:val="both"/>
        <w:rPr>
          <w:rFonts w:asciiTheme="minorHAnsi" w:hAnsiTheme="minorHAnsi"/>
          <w:lang w:val="en-GB"/>
        </w:rPr>
      </w:pPr>
      <w:r>
        <w:rPr>
          <w:rStyle w:val="FootnoteReference"/>
        </w:rPr>
        <w:footnoteRef/>
      </w:r>
      <w:r>
        <w:t xml:space="preserve"> </w:t>
      </w:r>
      <w:r w:rsidRPr="00732ADD">
        <w:rPr>
          <w:rFonts w:asciiTheme="minorHAnsi" w:hAnsiTheme="minorHAnsi"/>
          <w:lang w:val="en-GB"/>
        </w:rPr>
        <w:t>Note the Adult sub-sector also includes Non-formal education, Community Colleges and Folk training.</w:t>
      </w:r>
    </w:p>
  </w:footnote>
  <w:footnote w:id="7">
    <w:p w:rsidR="00A141E6" w:rsidRPr="00732ADD" w:rsidRDefault="00A141E6" w:rsidP="00B3649F">
      <w:pPr>
        <w:pStyle w:val="FootnoteText"/>
        <w:jc w:val="both"/>
        <w:rPr>
          <w:rFonts w:asciiTheme="minorHAnsi" w:hAnsiTheme="minorHAnsi" w:cstheme="minorHAnsi"/>
          <w:lang w:val="en-GB"/>
        </w:rPr>
      </w:pPr>
      <w:r w:rsidRPr="00732ADD">
        <w:rPr>
          <w:rStyle w:val="FootnoteReference"/>
          <w:rFonts w:asciiTheme="minorHAnsi" w:hAnsiTheme="minorHAnsi" w:cstheme="minorHAnsi"/>
        </w:rPr>
        <w:footnoteRef/>
      </w:r>
      <w:r w:rsidRPr="00732ADD">
        <w:rPr>
          <w:rFonts w:asciiTheme="minorHAnsi" w:hAnsiTheme="minorHAnsi" w:cstheme="minorHAnsi"/>
        </w:rPr>
        <w:t xml:space="preserve"> </w:t>
      </w:r>
      <w:r w:rsidRPr="00732ADD">
        <w:rPr>
          <w:rFonts w:asciiTheme="minorHAnsi" w:hAnsiTheme="minorHAnsi" w:cstheme="minorHAnsi"/>
          <w:lang w:val="en-GB"/>
        </w:rPr>
        <w:t xml:space="preserve">Dar </w:t>
      </w:r>
      <w:proofErr w:type="spellStart"/>
      <w:r w:rsidRPr="00732ADD">
        <w:rPr>
          <w:rFonts w:asciiTheme="minorHAnsi" w:hAnsiTheme="minorHAnsi" w:cstheme="minorHAnsi"/>
          <w:lang w:val="en-GB"/>
        </w:rPr>
        <w:t>es</w:t>
      </w:r>
      <w:proofErr w:type="spellEnd"/>
      <w:r w:rsidRPr="00732ADD">
        <w:rPr>
          <w:rFonts w:asciiTheme="minorHAnsi" w:hAnsiTheme="minorHAnsi" w:cstheme="minorHAnsi"/>
          <w:lang w:val="en-GB"/>
        </w:rPr>
        <w:t xml:space="preserve"> Salaam City Council register zero recurrent education spending, but this is assumed to be a mistake in reporting. Fourteen other Districts had no data available.</w:t>
      </w:r>
    </w:p>
  </w:footnote>
  <w:footnote w:id="8">
    <w:p w:rsidR="00A141E6" w:rsidRPr="00732ADD" w:rsidRDefault="00A141E6" w:rsidP="00B3649F">
      <w:pPr>
        <w:pStyle w:val="FootnoteText"/>
        <w:jc w:val="both"/>
        <w:rPr>
          <w:rFonts w:asciiTheme="minorHAnsi" w:hAnsiTheme="minorHAnsi" w:cstheme="minorHAnsi"/>
          <w:lang w:val="en-GB"/>
        </w:rPr>
      </w:pPr>
      <w:r w:rsidRPr="00732ADD">
        <w:rPr>
          <w:rStyle w:val="FootnoteReference"/>
          <w:rFonts w:asciiTheme="minorHAnsi" w:hAnsiTheme="minorHAnsi" w:cstheme="minorHAnsi"/>
        </w:rPr>
        <w:footnoteRef/>
      </w:r>
      <w:r w:rsidRPr="00732ADD">
        <w:rPr>
          <w:rFonts w:asciiTheme="minorHAnsi" w:hAnsiTheme="minorHAnsi" w:cstheme="minorHAnsi"/>
        </w:rPr>
        <w:t xml:space="preserve"> </w:t>
      </w:r>
      <w:r w:rsidRPr="00732ADD">
        <w:rPr>
          <w:rFonts w:asciiTheme="minorHAnsi" w:hAnsiTheme="minorHAnsi" w:cstheme="minorHAnsi"/>
          <w:lang w:val="en-GB"/>
        </w:rPr>
        <w:t xml:space="preserve">It must be noted that this analysis has been done without access to the regional budget allocation formulas. However, there is an apparent variation of 400% from the lowest spending region to the highest which seems unlikely to </w:t>
      </w:r>
      <w:r>
        <w:rPr>
          <w:rFonts w:asciiTheme="minorHAnsi" w:hAnsiTheme="minorHAnsi" w:cstheme="minorHAnsi"/>
          <w:lang w:val="en-GB"/>
        </w:rPr>
        <w:t xml:space="preserve">be </w:t>
      </w:r>
      <w:r w:rsidRPr="00732ADD">
        <w:rPr>
          <w:rFonts w:asciiTheme="minorHAnsi" w:hAnsiTheme="minorHAnsi" w:cstheme="minorHAnsi"/>
          <w:lang w:val="en-GB"/>
        </w:rPr>
        <w:t>explain</w:t>
      </w:r>
      <w:r>
        <w:rPr>
          <w:rFonts w:asciiTheme="minorHAnsi" w:hAnsiTheme="minorHAnsi" w:cstheme="minorHAnsi"/>
          <w:lang w:val="en-GB"/>
        </w:rPr>
        <w:t>ed</w:t>
      </w:r>
      <w:r w:rsidRPr="00732ADD">
        <w:rPr>
          <w:rFonts w:asciiTheme="minorHAnsi" w:hAnsiTheme="minorHAnsi" w:cstheme="minorHAnsi"/>
          <w:lang w:val="en-GB"/>
        </w:rPr>
        <w:t xml:space="preserve"> by contextual factors only.</w:t>
      </w:r>
    </w:p>
  </w:footnote>
  <w:footnote w:id="9">
    <w:p w:rsidR="00A141E6" w:rsidRPr="002A4635" w:rsidRDefault="00A141E6" w:rsidP="002A4635">
      <w:pPr>
        <w:spacing w:after="0" w:line="240" w:lineRule="auto"/>
        <w:jc w:val="both"/>
        <w:rPr>
          <w:rFonts w:cstheme="minorHAnsi"/>
          <w:sz w:val="20"/>
          <w:szCs w:val="20"/>
        </w:rPr>
      </w:pPr>
      <w:r w:rsidRPr="007524E5">
        <w:rPr>
          <w:rStyle w:val="FootnoteReference"/>
          <w:rFonts w:cstheme="minorHAnsi"/>
          <w:sz w:val="20"/>
          <w:szCs w:val="20"/>
        </w:rPr>
        <w:footnoteRef/>
      </w:r>
      <w:r w:rsidRPr="007524E5">
        <w:rPr>
          <w:rFonts w:cstheme="minorHAnsi"/>
          <w:sz w:val="20"/>
          <w:szCs w:val="20"/>
        </w:rPr>
        <w:t xml:space="preserve"> </w:t>
      </w:r>
      <w:r w:rsidRPr="002A4635">
        <w:rPr>
          <w:rFonts w:cstheme="minorHAnsi"/>
          <w:sz w:val="20"/>
          <w:szCs w:val="20"/>
        </w:rPr>
        <w:t xml:space="preserve">A full breakdown including per diems was not attempted as this would involve analyzing by 6D_GFS which contains nearly 200 codes and, in any case, is only possible at MDA level, which accounts for just 4% of wage costs. </w:t>
      </w:r>
    </w:p>
  </w:footnote>
  <w:footnote w:id="10">
    <w:p w:rsidR="00A141E6" w:rsidRPr="002F5500" w:rsidRDefault="00A141E6" w:rsidP="002A4635">
      <w:pPr>
        <w:pStyle w:val="FootnoteText"/>
        <w:jc w:val="both"/>
        <w:rPr>
          <w:lang w:val="en-GB"/>
        </w:rPr>
      </w:pPr>
      <w:r w:rsidRPr="002A4635">
        <w:rPr>
          <w:rStyle w:val="FootnoteReference"/>
          <w:rFonts w:asciiTheme="minorHAnsi" w:hAnsiTheme="minorHAnsi"/>
        </w:rPr>
        <w:footnoteRef/>
      </w:r>
      <w:r w:rsidRPr="002A4635">
        <w:rPr>
          <w:rFonts w:asciiTheme="minorHAnsi" w:hAnsiTheme="minorHAnsi"/>
        </w:rPr>
        <w:t xml:space="preserve"> </w:t>
      </w:r>
      <w:r w:rsidRPr="002A4635">
        <w:rPr>
          <w:rFonts w:asciiTheme="minorHAnsi" w:hAnsiTheme="minorHAnsi"/>
          <w:lang w:val="en-GB"/>
        </w:rPr>
        <w:t>It must be noted that these estimates are dependent on our assumptions of relative spend at the decentralised level as PE has not been assigned to sub-sectors.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E6" w:rsidRPr="00716F6A" w:rsidRDefault="00A141E6" w:rsidP="00716F6A">
    <w:pPr>
      <w:pStyle w:val="Header"/>
      <w:jc w:val="right"/>
      <w:rPr>
        <w:rFonts w:ascii="Garamond" w:hAnsi="Garamond"/>
      </w:rPr>
    </w:pPr>
  </w:p>
  <w:p w:rsidR="00A141E6" w:rsidRDefault="00A141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DC9" w:rsidRPr="00716F6A" w:rsidRDefault="008C1DC9" w:rsidP="00716F6A">
    <w:pPr>
      <w:pStyle w:val="Header"/>
      <w:jc w:val="right"/>
      <w:rPr>
        <w:rFonts w:ascii="Garamond" w:hAnsi="Garamond"/>
      </w:rPr>
    </w:pPr>
  </w:p>
  <w:p w:rsidR="008C1DC9" w:rsidRDefault="008C1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9F9"/>
    <w:multiLevelType w:val="hybridMultilevel"/>
    <w:tmpl w:val="36BAC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621DDA"/>
    <w:multiLevelType w:val="multilevel"/>
    <w:tmpl w:val="37AACCFE"/>
    <w:lvl w:ilvl="0">
      <w:start w:val="1"/>
      <w:numFmt w:val="decimal"/>
      <w:pStyle w:val="Section"/>
      <w:lvlText w:val="%1"/>
      <w:lvlJc w:val="left"/>
      <w:pPr>
        <w:tabs>
          <w:tab w:val="num" w:pos="720"/>
        </w:tabs>
        <w:ind w:left="720" w:hanging="720"/>
      </w:pPr>
    </w:lvl>
    <w:lvl w:ilvl="1">
      <w:start w:val="1"/>
      <w:numFmt w:val="decimal"/>
      <w:pStyle w:val="Heading1"/>
      <w:lvlText w:val="%1.%2"/>
      <w:lvlJc w:val="left"/>
      <w:pPr>
        <w:tabs>
          <w:tab w:val="num" w:pos="1713"/>
        </w:tabs>
        <w:ind w:left="1713" w:hanging="720"/>
      </w:pPr>
    </w:lvl>
    <w:lvl w:ilvl="2">
      <w:start w:val="1"/>
      <w:numFmt w:val="decimal"/>
      <w:pStyle w:val="Heading2"/>
      <w:lvlText w:val="%1.%2.%3"/>
      <w:lvlJc w:val="left"/>
      <w:pPr>
        <w:tabs>
          <w:tab w:val="num" w:pos="720"/>
        </w:tabs>
        <w:ind w:left="720" w:hanging="720"/>
      </w:pPr>
    </w:lvl>
    <w:lvl w:ilvl="3">
      <w:start w:val="1"/>
      <w:numFmt w:val="decimal"/>
      <w:pStyle w:val="Heading3"/>
      <w:lvlText w:val="%1.%2.%3.%4"/>
      <w:lvlJc w:val="left"/>
      <w:pPr>
        <w:tabs>
          <w:tab w:val="num" w:pos="1440"/>
        </w:tabs>
        <w:ind w:left="1440" w:hanging="1440"/>
      </w:pPr>
    </w:lvl>
    <w:lvl w:ilvl="4">
      <w:start w:val="1"/>
      <w:numFmt w:val="decimal"/>
      <w:lvlRestart w:val="1"/>
      <w:pStyle w:val="Table"/>
      <w:lvlText w:val="Table %1.%5"/>
      <w:lvlJc w:val="left"/>
      <w:pPr>
        <w:tabs>
          <w:tab w:val="num" w:pos="1440"/>
        </w:tabs>
        <w:ind w:left="1440" w:hanging="1440"/>
      </w:pPr>
    </w:lvl>
    <w:lvl w:ilvl="5">
      <w:start w:val="1"/>
      <w:numFmt w:val="decimal"/>
      <w:lvlRestart w:val="1"/>
      <w:pStyle w:val="Figure"/>
      <w:lvlText w:val="Figure %1.%6"/>
      <w:lvlJc w:val="left"/>
      <w:pPr>
        <w:tabs>
          <w:tab w:val="num" w:pos="1440"/>
        </w:tabs>
        <w:ind w:left="1440" w:hanging="1440"/>
      </w:pPr>
    </w:lvl>
    <w:lvl w:ilvl="6">
      <w:start w:val="1"/>
      <w:numFmt w:val="decimal"/>
      <w:lvlRestart w:val="1"/>
      <w:pStyle w:val="Boxtitle"/>
      <w:lvlText w:val="Box %1.%7"/>
      <w:lvlJc w:val="left"/>
      <w:pPr>
        <w:tabs>
          <w:tab w:val="num" w:pos="1440"/>
        </w:tabs>
        <w:ind w:left="1440" w:hanging="144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6506787"/>
    <w:multiLevelType w:val="hybridMultilevel"/>
    <w:tmpl w:val="57BE9A4E"/>
    <w:lvl w:ilvl="0" w:tplc="BB52DD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05C1C"/>
    <w:multiLevelType w:val="hybridMultilevel"/>
    <w:tmpl w:val="65DC13FA"/>
    <w:lvl w:ilvl="0" w:tplc="7B3E7282">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0E436E"/>
    <w:multiLevelType w:val="hybridMultilevel"/>
    <w:tmpl w:val="E95AE392"/>
    <w:lvl w:ilvl="0" w:tplc="10090001">
      <w:start w:val="1"/>
      <w:numFmt w:val="decimal"/>
      <w:lvlText w:val="%1."/>
      <w:lvlJc w:val="left"/>
      <w:pPr>
        <w:tabs>
          <w:tab w:val="num" w:pos="1440"/>
        </w:tabs>
        <w:ind w:left="1440" w:hanging="360"/>
      </w:pPr>
      <w:rPr>
        <w:b w:val="0"/>
      </w:rPr>
    </w:lvl>
    <w:lvl w:ilvl="1" w:tplc="10090003">
      <w:start w:val="1"/>
      <w:numFmt w:val="lowerLetter"/>
      <w:lvlText w:val="%2."/>
      <w:lvlJc w:val="left"/>
      <w:pPr>
        <w:tabs>
          <w:tab w:val="num" w:pos="2160"/>
        </w:tabs>
        <w:ind w:left="2160" w:hanging="360"/>
      </w:pPr>
    </w:lvl>
    <w:lvl w:ilvl="2" w:tplc="10090005" w:tentative="1">
      <w:start w:val="1"/>
      <w:numFmt w:val="lowerRoman"/>
      <w:lvlText w:val="%3."/>
      <w:lvlJc w:val="right"/>
      <w:pPr>
        <w:tabs>
          <w:tab w:val="num" w:pos="2880"/>
        </w:tabs>
        <w:ind w:left="2880" w:hanging="180"/>
      </w:pPr>
    </w:lvl>
    <w:lvl w:ilvl="3" w:tplc="10090001" w:tentative="1">
      <w:start w:val="1"/>
      <w:numFmt w:val="decimal"/>
      <w:lvlText w:val="%4."/>
      <w:lvlJc w:val="left"/>
      <w:pPr>
        <w:tabs>
          <w:tab w:val="num" w:pos="3600"/>
        </w:tabs>
        <w:ind w:left="3600" w:hanging="360"/>
      </w:pPr>
    </w:lvl>
    <w:lvl w:ilvl="4" w:tplc="10090003" w:tentative="1">
      <w:start w:val="1"/>
      <w:numFmt w:val="lowerLetter"/>
      <w:lvlText w:val="%5."/>
      <w:lvlJc w:val="left"/>
      <w:pPr>
        <w:tabs>
          <w:tab w:val="num" w:pos="4320"/>
        </w:tabs>
        <w:ind w:left="4320" w:hanging="360"/>
      </w:pPr>
    </w:lvl>
    <w:lvl w:ilvl="5" w:tplc="10090005" w:tentative="1">
      <w:start w:val="1"/>
      <w:numFmt w:val="lowerRoman"/>
      <w:lvlText w:val="%6."/>
      <w:lvlJc w:val="right"/>
      <w:pPr>
        <w:tabs>
          <w:tab w:val="num" w:pos="5040"/>
        </w:tabs>
        <w:ind w:left="5040" w:hanging="180"/>
      </w:pPr>
    </w:lvl>
    <w:lvl w:ilvl="6" w:tplc="10090001" w:tentative="1">
      <w:start w:val="1"/>
      <w:numFmt w:val="decimal"/>
      <w:lvlText w:val="%7."/>
      <w:lvlJc w:val="left"/>
      <w:pPr>
        <w:tabs>
          <w:tab w:val="num" w:pos="5760"/>
        </w:tabs>
        <w:ind w:left="5760" w:hanging="360"/>
      </w:pPr>
    </w:lvl>
    <w:lvl w:ilvl="7" w:tplc="10090003" w:tentative="1">
      <w:start w:val="1"/>
      <w:numFmt w:val="lowerLetter"/>
      <w:lvlText w:val="%8."/>
      <w:lvlJc w:val="left"/>
      <w:pPr>
        <w:tabs>
          <w:tab w:val="num" w:pos="6480"/>
        </w:tabs>
        <w:ind w:left="6480" w:hanging="360"/>
      </w:pPr>
    </w:lvl>
    <w:lvl w:ilvl="8" w:tplc="10090005" w:tentative="1">
      <w:start w:val="1"/>
      <w:numFmt w:val="lowerRoman"/>
      <w:lvlText w:val="%9."/>
      <w:lvlJc w:val="right"/>
      <w:pPr>
        <w:tabs>
          <w:tab w:val="num" w:pos="7200"/>
        </w:tabs>
        <w:ind w:left="7200" w:hanging="180"/>
      </w:pPr>
    </w:lvl>
  </w:abstractNum>
  <w:abstractNum w:abstractNumId="5">
    <w:nsid w:val="0C7A634F"/>
    <w:multiLevelType w:val="hybridMultilevel"/>
    <w:tmpl w:val="35DEDE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10E00776"/>
    <w:multiLevelType w:val="hybridMultilevel"/>
    <w:tmpl w:val="A4F82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40931"/>
    <w:multiLevelType w:val="hybridMultilevel"/>
    <w:tmpl w:val="E01055E6"/>
    <w:lvl w:ilvl="0" w:tplc="B03EB154">
      <w:start w:val="1"/>
      <w:numFmt w:val="decimal"/>
      <w:lvlText w:val="%1."/>
      <w:lvlJc w:val="left"/>
      <w:pPr>
        <w:ind w:left="360" w:hanging="360"/>
      </w:pPr>
      <w:rPr>
        <w:rFonts w:asciiTheme="minorHAnsi" w:hAnsiTheme="minorHAnsi" w:cs="Times New Roman" w:hint="default"/>
        <w:b w:val="0"/>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B63589"/>
    <w:multiLevelType w:val="hybridMultilevel"/>
    <w:tmpl w:val="310E3E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EF4CF9"/>
    <w:multiLevelType w:val="hybridMultilevel"/>
    <w:tmpl w:val="7C1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C3ECD"/>
    <w:multiLevelType w:val="hybridMultilevel"/>
    <w:tmpl w:val="13D2E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2E01DA"/>
    <w:multiLevelType w:val="hybridMultilevel"/>
    <w:tmpl w:val="7D14DF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502FC"/>
    <w:multiLevelType w:val="hybridMultilevel"/>
    <w:tmpl w:val="76007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E8505E1"/>
    <w:multiLevelType w:val="hybridMultilevel"/>
    <w:tmpl w:val="917A6538"/>
    <w:lvl w:ilvl="0" w:tplc="02FA85D2">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A7D418E8">
      <w:start w:val="1"/>
      <w:numFmt w:val="upperLetter"/>
      <w:lvlText w:val="%3."/>
      <w:lvlJc w:val="left"/>
      <w:pPr>
        <w:tabs>
          <w:tab w:val="num" w:pos="1980"/>
        </w:tabs>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20B206B3"/>
    <w:multiLevelType w:val="hybridMultilevel"/>
    <w:tmpl w:val="5D7248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3A6C34"/>
    <w:multiLevelType w:val="hybridMultilevel"/>
    <w:tmpl w:val="239437EC"/>
    <w:lvl w:ilvl="0" w:tplc="D79C080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43446D"/>
    <w:multiLevelType w:val="hybridMultilevel"/>
    <w:tmpl w:val="76AAF124"/>
    <w:lvl w:ilvl="0" w:tplc="8DBCD54C">
      <w:start w:val="1"/>
      <w:numFmt w:val="decimal"/>
      <w:lvlText w:val="%1."/>
      <w:lvlJc w:val="left"/>
      <w:pPr>
        <w:ind w:left="6750" w:hanging="360"/>
      </w:pPr>
      <w:rPr>
        <w:rFonts w:hint="default"/>
        <w:b w:val="0"/>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nsid w:val="2EA351E3"/>
    <w:multiLevelType w:val="multilevel"/>
    <w:tmpl w:val="95C07D56"/>
    <w:lvl w:ilvl="0">
      <w:start w:val="1"/>
      <w:numFmt w:val="decimal"/>
      <w:pStyle w:val="Para"/>
      <w:lvlText w:val="%1."/>
      <w:lvlJc w:val="left"/>
      <w:pPr>
        <w:tabs>
          <w:tab w:val="num" w:pos="810"/>
        </w:tabs>
        <w:ind w:left="810" w:hanging="720"/>
      </w:pPr>
    </w:lvl>
    <w:lvl w:ilvl="1">
      <w:start w:val="1"/>
      <w:numFmt w:val="decimal"/>
      <w:lvlText w:val="%2."/>
      <w:lvlJc w:val="left"/>
      <w:pPr>
        <w:tabs>
          <w:tab w:val="num" w:pos="1530"/>
        </w:tabs>
        <w:ind w:left="1530" w:hanging="720"/>
      </w:p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18">
    <w:nsid w:val="303E7B7E"/>
    <w:multiLevelType w:val="hybridMultilevel"/>
    <w:tmpl w:val="E7182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BD101C"/>
    <w:multiLevelType w:val="hybridMultilevel"/>
    <w:tmpl w:val="55D068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865034"/>
    <w:multiLevelType w:val="hybridMultilevel"/>
    <w:tmpl w:val="D70C7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257AE4"/>
    <w:multiLevelType w:val="hybridMultilevel"/>
    <w:tmpl w:val="E81C1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270D5A"/>
    <w:multiLevelType w:val="hybridMultilevel"/>
    <w:tmpl w:val="9404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2F2B70"/>
    <w:multiLevelType w:val="hybridMultilevel"/>
    <w:tmpl w:val="78D61A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080228"/>
    <w:multiLevelType w:val="hybridMultilevel"/>
    <w:tmpl w:val="EE7C9D88"/>
    <w:lvl w:ilvl="0" w:tplc="0409000F">
      <w:start w:val="1"/>
      <w:numFmt w:val="decimal"/>
      <w:lvlText w:val="%1."/>
      <w:lvlJc w:val="left"/>
      <w:pPr>
        <w:tabs>
          <w:tab w:val="num" w:pos="720"/>
        </w:tabs>
        <w:ind w:left="720" w:hanging="72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1980"/>
        </w:tabs>
        <w:ind w:left="1980" w:hanging="180"/>
      </w:pPr>
    </w:lvl>
    <w:lvl w:ilvl="3" w:tplc="04090001">
      <w:start w:val="1"/>
      <w:numFmt w:val="decimal"/>
      <w:lvlText w:val="%4."/>
      <w:lvlJc w:val="left"/>
      <w:pPr>
        <w:tabs>
          <w:tab w:val="num" w:pos="2880"/>
        </w:tabs>
        <w:ind w:left="2880" w:hanging="360"/>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4F8E3469"/>
    <w:multiLevelType w:val="multilevel"/>
    <w:tmpl w:val="2E0CDE6E"/>
    <w:lvl w:ilvl="0">
      <w:start w:val="1"/>
      <w:numFmt w:val="decimal"/>
      <w:pStyle w:val="Heading1a"/>
      <w:lvlText w:val="%1."/>
      <w:lvlJc w:val="left"/>
      <w:pPr>
        <w:tabs>
          <w:tab w:val="num" w:pos="2790"/>
        </w:tabs>
        <w:ind w:left="279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8"/>
        <w:szCs w:val="28"/>
        <w:u w:val="none"/>
        <w:vertAlign w:val="baseline"/>
        <w:em w:val="none"/>
      </w:rPr>
    </w:lvl>
    <w:lvl w:ilvl="1">
      <w:start w:val="1"/>
      <w:numFmt w:val="decimal"/>
      <w:lvlRestart w:val="0"/>
      <w:pStyle w:val="MainParawithChapter"/>
      <w:lvlText w:val="2.%2"/>
      <w:lvlJc w:val="left"/>
      <w:pPr>
        <w:tabs>
          <w:tab w:val="num" w:pos="990"/>
        </w:tabs>
        <w:ind w:left="990" w:hanging="720"/>
      </w:pPr>
      <w:rPr>
        <w:rFonts w:ascii="Times New Roman" w:hAnsi="Times New Roman" w:hint="default"/>
        <w:b w:val="0"/>
        <w:bCs w:val="0"/>
        <w:i w:val="0"/>
        <w:iCs w:val="0"/>
        <w:caps w:val="0"/>
        <w:smallCaps w:val="0"/>
        <w:dstrike w:val="0"/>
        <w:shadow w:val="0"/>
        <w:emboss w:val="0"/>
        <w:imprint w:val="0"/>
        <w:color w:val="000000"/>
        <w:spacing w:val="0"/>
        <w:w w:val="100"/>
        <w:kern w:val="0"/>
        <w:position w:val="0"/>
        <w:sz w:val="22"/>
        <w:szCs w:val="22"/>
        <w:u w:val="none"/>
        <w:effect w:val="none"/>
        <w:vertAlign w:val="baseline"/>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6">
    <w:nsid w:val="524B443A"/>
    <w:multiLevelType w:val="hybridMultilevel"/>
    <w:tmpl w:val="546E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BC4DF7"/>
    <w:multiLevelType w:val="hybridMultilevel"/>
    <w:tmpl w:val="795084D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8">
    <w:nsid w:val="53BA56CB"/>
    <w:multiLevelType w:val="hybridMultilevel"/>
    <w:tmpl w:val="D616BE32"/>
    <w:lvl w:ilvl="0" w:tplc="14DCC166">
      <w:start w:val="1"/>
      <w:numFmt w:val="bullet"/>
      <w:lvlText w:val=""/>
      <w:lvlJc w:val="left"/>
      <w:pPr>
        <w:tabs>
          <w:tab w:val="num" w:pos="720"/>
        </w:tabs>
        <w:ind w:left="720" w:hanging="360"/>
      </w:pPr>
      <w:rPr>
        <w:rFonts w:ascii="Wingdings" w:hAnsi="Wingdings" w:hint="default"/>
      </w:rPr>
    </w:lvl>
    <w:lvl w:ilvl="1" w:tplc="0A48E726">
      <w:start w:val="1"/>
      <w:numFmt w:val="bullet"/>
      <w:lvlText w:val=""/>
      <w:lvlJc w:val="left"/>
      <w:pPr>
        <w:tabs>
          <w:tab w:val="num" w:pos="1440"/>
        </w:tabs>
        <w:ind w:left="1440" w:hanging="360"/>
      </w:pPr>
      <w:rPr>
        <w:rFonts w:ascii="Wingdings" w:hAnsi="Wingdings" w:hint="default"/>
      </w:rPr>
    </w:lvl>
    <w:lvl w:ilvl="2" w:tplc="40D81C88" w:tentative="1">
      <w:start w:val="1"/>
      <w:numFmt w:val="bullet"/>
      <w:lvlText w:val=""/>
      <w:lvlJc w:val="left"/>
      <w:pPr>
        <w:tabs>
          <w:tab w:val="num" w:pos="2160"/>
        </w:tabs>
        <w:ind w:left="2160" w:hanging="360"/>
      </w:pPr>
      <w:rPr>
        <w:rFonts w:ascii="Wingdings" w:hAnsi="Wingdings" w:hint="default"/>
      </w:rPr>
    </w:lvl>
    <w:lvl w:ilvl="3" w:tplc="ECCAC0E6" w:tentative="1">
      <w:start w:val="1"/>
      <w:numFmt w:val="bullet"/>
      <w:lvlText w:val=""/>
      <w:lvlJc w:val="left"/>
      <w:pPr>
        <w:tabs>
          <w:tab w:val="num" w:pos="2880"/>
        </w:tabs>
        <w:ind w:left="2880" w:hanging="360"/>
      </w:pPr>
      <w:rPr>
        <w:rFonts w:ascii="Wingdings" w:hAnsi="Wingdings" w:hint="default"/>
      </w:rPr>
    </w:lvl>
    <w:lvl w:ilvl="4" w:tplc="CC94C872" w:tentative="1">
      <w:start w:val="1"/>
      <w:numFmt w:val="bullet"/>
      <w:lvlText w:val=""/>
      <w:lvlJc w:val="left"/>
      <w:pPr>
        <w:tabs>
          <w:tab w:val="num" w:pos="3600"/>
        </w:tabs>
        <w:ind w:left="3600" w:hanging="360"/>
      </w:pPr>
      <w:rPr>
        <w:rFonts w:ascii="Wingdings" w:hAnsi="Wingdings" w:hint="default"/>
      </w:rPr>
    </w:lvl>
    <w:lvl w:ilvl="5" w:tplc="7118487A" w:tentative="1">
      <w:start w:val="1"/>
      <w:numFmt w:val="bullet"/>
      <w:lvlText w:val=""/>
      <w:lvlJc w:val="left"/>
      <w:pPr>
        <w:tabs>
          <w:tab w:val="num" w:pos="4320"/>
        </w:tabs>
        <w:ind w:left="4320" w:hanging="360"/>
      </w:pPr>
      <w:rPr>
        <w:rFonts w:ascii="Wingdings" w:hAnsi="Wingdings" w:hint="default"/>
      </w:rPr>
    </w:lvl>
    <w:lvl w:ilvl="6" w:tplc="E17A8966" w:tentative="1">
      <w:start w:val="1"/>
      <w:numFmt w:val="bullet"/>
      <w:lvlText w:val=""/>
      <w:lvlJc w:val="left"/>
      <w:pPr>
        <w:tabs>
          <w:tab w:val="num" w:pos="5040"/>
        </w:tabs>
        <w:ind w:left="5040" w:hanging="360"/>
      </w:pPr>
      <w:rPr>
        <w:rFonts w:ascii="Wingdings" w:hAnsi="Wingdings" w:hint="default"/>
      </w:rPr>
    </w:lvl>
    <w:lvl w:ilvl="7" w:tplc="957AFF40" w:tentative="1">
      <w:start w:val="1"/>
      <w:numFmt w:val="bullet"/>
      <w:lvlText w:val=""/>
      <w:lvlJc w:val="left"/>
      <w:pPr>
        <w:tabs>
          <w:tab w:val="num" w:pos="5760"/>
        </w:tabs>
        <w:ind w:left="5760" w:hanging="360"/>
      </w:pPr>
      <w:rPr>
        <w:rFonts w:ascii="Wingdings" w:hAnsi="Wingdings" w:hint="default"/>
      </w:rPr>
    </w:lvl>
    <w:lvl w:ilvl="8" w:tplc="D5C0DB4A" w:tentative="1">
      <w:start w:val="1"/>
      <w:numFmt w:val="bullet"/>
      <w:lvlText w:val=""/>
      <w:lvlJc w:val="left"/>
      <w:pPr>
        <w:tabs>
          <w:tab w:val="num" w:pos="6480"/>
        </w:tabs>
        <w:ind w:left="6480" w:hanging="360"/>
      </w:pPr>
      <w:rPr>
        <w:rFonts w:ascii="Wingdings" w:hAnsi="Wingdings" w:hint="default"/>
      </w:rPr>
    </w:lvl>
  </w:abstractNum>
  <w:abstractNum w:abstractNumId="29">
    <w:nsid w:val="541F6684"/>
    <w:multiLevelType w:val="hybridMultilevel"/>
    <w:tmpl w:val="0A5E2D7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745872"/>
    <w:multiLevelType w:val="hybridMultilevel"/>
    <w:tmpl w:val="C6A435A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8340ADE"/>
    <w:multiLevelType w:val="hybridMultilevel"/>
    <w:tmpl w:val="9C004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AFF2B6A"/>
    <w:multiLevelType w:val="hybridMultilevel"/>
    <w:tmpl w:val="74F69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2F62A8"/>
    <w:multiLevelType w:val="hybridMultilevel"/>
    <w:tmpl w:val="76AAF124"/>
    <w:lvl w:ilvl="0" w:tplc="8DBCD54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4C7163"/>
    <w:multiLevelType w:val="hybridMultilevel"/>
    <w:tmpl w:val="5C5CAD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nsid w:val="5D76306F"/>
    <w:multiLevelType w:val="hybridMultilevel"/>
    <w:tmpl w:val="A5EA925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6">
    <w:nsid w:val="600325A4"/>
    <w:multiLevelType w:val="hybridMultilevel"/>
    <w:tmpl w:val="5DD0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B87D50"/>
    <w:multiLevelType w:val="hybridMultilevel"/>
    <w:tmpl w:val="6D1C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764CC1"/>
    <w:multiLevelType w:val="hybridMultilevel"/>
    <w:tmpl w:val="9D682296"/>
    <w:lvl w:ilvl="0" w:tplc="3F483E50">
      <w:start w:val="1"/>
      <w:numFmt w:val="bullet"/>
      <w:pStyle w:val="Aufgang"/>
      <w:lvlText w:val=""/>
      <w:lvlJc w:val="left"/>
      <w:pPr>
        <w:tabs>
          <w:tab w:val="num" w:pos="720"/>
        </w:tabs>
        <w:ind w:left="720" w:hanging="360"/>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39">
    <w:nsid w:val="6DEE1CAC"/>
    <w:multiLevelType w:val="hybridMultilevel"/>
    <w:tmpl w:val="33722D54"/>
    <w:lvl w:ilvl="0" w:tplc="1809000B">
      <w:start w:val="1"/>
      <w:numFmt w:val="bullet"/>
      <w:lvlText w:val=""/>
      <w:lvlJc w:val="left"/>
      <w:pPr>
        <w:ind w:left="502" w:hanging="360"/>
      </w:pPr>
      <w:rPr>
        <w:rFonts w:ascii="Wingdings" w:hAnsi="Wingdings" w:hint="default"/>
      </w:rPr>
    </w:lvl>
    <w:lvl w:ilvl="1" w:tplc="18090003">
      <w:start w:val="1"/>
      <w:numFmt w:val="bullet"/>
      <w:lvlText w:val="o"/>
      <w:lvlJc w:val="left"/>
      <w:pPr>
        <w:ind w:left="1222" w:hanging="360"/>
      </w:pPr>
      <w:rPr>
        <w:rFonts w:ascii="Courier New" w:hAnsi="Courier New" w:cs="Courier New" w:hint="default"/>
      </w:rPr>
    </w:lvl>
    <w:lvl w:ilvl="2" w:tplc="18090005">
      <w:start w:val="1"/>
      <w:numFmt w:val="bullet"/>
      <w:lvlText w:val=""/>
      <w:lvlJc w:val="left"/>
      <w:pPr>
        <w:ind w:left="1942" w:hanging="360"/>
      </w:pPr>
      <w:rPr>
        <w:rFonts w:ascii="Wingdings" w:hAnsi="Wingdings" w:hint="default"/>
      </w:rPr>
    </w:lvl>
    <w:lvl w:ilvl="3" w:tplc="18090001">
      <w:start w:val="1"/>
      <w:numFmt w:val="bullet"/>
      <w:lvlText w:val=""/>
      <w:lvlJc w:val="left"/>
      <w:pPr>
        <w:ind w:left="2662" w:hanging="360"/>
      </w:pPr>
      <w:rPr>
        <w:rFonts w:ascii="Symbol" w:hAnsi="Symbol" w:hint="default"/>
      </w:rPr>
    </w:lvl>
    <w:lvl w:ilvl="4" w:tplc="18090003">
      <w:start w:val="1"/>
      <w:numFmt w:val="bullet"/>
      <w:lvlText w:val="o"/>
      <w:lvlJc w:val="left"/>
      <w:pPr>
        <w:ind w:left="3382" w:hanging="360"/>
      </w:pPr>
      <w:rPr>
        <w:rFonts w:ascii="Courier New" w:hAnsi="Courier New" w:cs="Courier New" w:hint="default"/>
      </w:rPr>
    </w:lvl>
    <w:lvl w:ilvl="5" w:tplc="18090005">
      <w:start w:val="1"/>
      <w:numFmt w:val="bullet"/>
      <w:lvlText w:val=""/>
      <w:lvlJc w:val="left"/>
      <w:pPr>
        <w:ind w:left="4102" w:hanging="360"/>
      </w:pPr>
      <w:rPr>
        <w:rFonts w:ascii="Wingdings" w:hAnsi="Wingdings" w:hint="default"/>
      </w:rPr>
    </w:lvl>
    <w:lvl w:ilvl="6" w:tplc="18090001">
      <w:start w:val="1"/>
      <w:numFmt w:val="bullet"/>
      <w:lvlText w:val=""/>
      <w:lvlJc w:val="left"/>
      <w:pPr>
        <w:ind w:left="4822" w:hanging="360"/>
      </w:pPr>
      <w:rPr>
        <w:rFonts w:ascii="Symbol" w:hAnsi="Symbol" w:hint="default"/>
      </w:rPr>
    </w:lvl>
    <w:lvl w:ilvl="7" w:tplc="18090003">
      <w:start w:val="1"/>
      <w:numFmt w:val="bullet"/>
      <w:lvlText w:val="o"/>
      <w:lvlJc w:val="left"/>
      <w:pPr>
        <w:ind w:left="5542" w:hanging="360"/>
      </w:pPr>
      <w:rPr>
        <w:rFonts w:ascii="Courier New" w:hAnsi="Courier New" w:cs="Courier New" w:hint="default"/>
      </w:rPr>
    </w:lvl>
    <w:lvl w:ilvl="8" w:tplc="18090005">
      <w:start w:val="1"/>
      <w:numFmt w:val="bullet"/>
      <w:lvlText w:val=""/>
      <w:lvlJc w:val="left"/>
      <w:pPr>
        <w:ind w:left="6262" w:hanging="360"/>
      </w:pPr>
      <w:rPr>
        <w:rFonts w:ascii="Wingdings" w:hAnsi="Wingdings" w:hint="default"/>
      </w:rPr>
    </w:lvl>
  </w:abstractNum>
  <w:abstractNum w:abstractNumId="40">
    <w:nsid w:val="721D0D5D"/>
    <w:multiLevelType w:val="hybridMultilevel"/>
    <w:tmpl w:val="9A3C5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723F1DFC"/>
    <w:multiLevelType w:val="hybridMultilevel"/>
    <w:tmpl w:val="274CF6EC"/>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28C2C48"/>
    <w:multiLevelType w:val="hybridMultilevel"/>
    <w:tmpl w:val="ECB8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C11663"/>
    <w:multiLevelType w:val="multilevel"/>
    <w:tmpl w:val="8780B57C"/>
    <w:lvl w:ilvl="0">
      <w:start w:val="1"/>
      <w:numFmt w:val="decimal"/>
      <w:lvlText w:val="%1."/>
      <w:lvlJc w:val="left"/>
      <w:pPr>
        <w:tabs>
          <w:tab w:val="num" w:pos="2790"/>
        </w:tabs>
        <w:ind w:left="279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vertAlign w:val="baseline"/>
        <w:em w:val="none"/>
      </w:rPr>
    </w:lvl>
    <w:lvl w:ilvl="1">
      <w:start w:val="1"/>
      <w:numFmt w:val="decimal"/>
      <w:lvlRestart w:val="0"/>
      <w:lvlText w:val="1.%2"/>
      <w:lvlJc w:val="left"/>
      <w:pPr>
        <w:tabs>
          <w:tab w:val="num" w:pos="990"/>
        </w:tabs>
        <w:ind w:left="990" w:hanging="720"/>
      </w:pPr>
      <w:rPr>
        <w:rFonts w:ascii="Times New Roman" w:hAnsi="Times New Roman" w:hint="default"/>
        <w:b w:val="0"/>
        <w:bCs w:val="0"/>
        <w:i w:val="0"/>
        <w:iCs w:val="0"/>
        <w:caps w:val="0"/>
        <w:smallCaps w:val="0"/>
        <w:dstrike w:val="0"/>
        <w:shadow w:val="0"/>
        <w:emboss w:val="0"/>
        <w:imprint w:val="0"/>
        <w:color w:val="000000"/>
        <w:spacing w:val="0"/>
        <w:w w:val="100"/>
        <w:kern w:val="0"/>
        <w:position w:val="0"/>
        <w:sz w:val="22"/>
        <w:szCs w:val="22"/>
        <w:u w:val="none"/>
        <w:effect w:val="none"/>
        <w:bdr w:val="none" w:sz="0" w:space="0" w:color="auto"/>
        <w:shd w:val="clear" w:color="auto" w:fill="auto"/>
        <w:vertAlign w:val="baseline"/>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44">
    <w:nsid w:val="774E4A11"/>
    <w:multiLevelType w:val="hybridMultilevel"/>
    <w:tmpl w:val="4DC869BC"/>
    <w:lvl w:ilvl="0" w:tplc="E888411C">
      <w:start w:val="1"/>
      <w:numFmt w:val="decimal"/>
      <w:pStyle w:val="WBDocMainPara"/>
      <w:lvlText w:val="%1."/>
      <w:lvlJc w:val="left"/>
      <w:pPr>
        <w:ind w:left="720" w:hanging="360"/>
      </w:pPr>
      <w:rPr>
        <w:rFonts w:ascii="Times New Roman" w:hAnsi="Times New Roman" w:cs="Times New Roman" w:hint="default"/>
        <w:b w:val="0"/>
        <w:lang w:val="en-US"/>
      </w:rPr>
    </w:lvl>
    <w:lvl w:ilvl="1" w:tplc="E3360990">
      <w:start w:val="1"/>
      <w:numFmt w:val="decimal"/>
      <w:lvlText w:val="%2."/>
      <w:lvlJc w:val="left"/>
      <w:pPr>
        <w:ind w:left="1440" w:hanging="360"/>
      </w:pPr>
      <w:rPr>
        <w:b w:val="0"/>
      </w:rPr>
    </w:lvl>
    <w:lvl w:ilvl="2" w:tplc="3B40950C">
      <w:start w:val="1"/>
      <w:numFmt w:val="lowerRoman"/>
      <w:lvlText w:val="%3."/>
      <w:lvlJc w:val="right"/>
      <w:pPr>
        <w:ind w:left="2160" w:hanging="180"/>
      </w:pPr>
    </w:lvl>
    <w:lvl w:ilvl="3" w:tplc="9AF89174">
      <w:start w:val="1"/>
      <w:numFmt w:val="decimal"/>
      <w:lvlText w:val="%4."/>
      <w:lvlJc w:val="left"/>
      <w:pPr>
        <w:ind w:left="2880" w:hanging="360"/>
      </w:pPr>
    </w:lvl>
    <w:lvl w:ilvl="4" w:tplc="897A6F0E">
      <w:start w:val="1"/>
      <w:numFmt w:val="lowerLetter"/>
      <w:lvlText w:val="%5."/>
      <w:lvlJc w:val="left"/>
      <w:pPr>
        <w:ind w:left="3600" w:hanging="360"/>
      </w:pPr>
    </w:lvl>
    <w:lvl w:ilvl="5" w:tplc="DEA617FE">
      <w:start w:val="1"/>
      <w:numFmt w:val="lowerRoman"/>
      <w:lvlText w:val="%6."/>
      <w:lvlJc w:val="right"/>
      <w:pPr>
        <w:ind w:left="4320" w:hanging="180"/>
      </w:pPr>
    </w:lvl>
    <w:lvl w:ilvl="6" w:tplc="E0A4ADBE">
      <w:start w:val="1"/>
      <w:numFmt w:val="decimal"/>
      <w:lvlText w:val="%7."/>
      <w:lvlJc w:val="left"/>
      <w:pPr>
        <w:ind w:left="5040" w:hanging="360"/>
      </w:pPr>
    </w:lvl>
    <w:lvl w:ilvl="7" w:tplc="D748A032">
      <w:start w:val="1"/>
      <w:numFmt w:val="lowerLetter"/>
      <w:lvlText w:val="%8."/>
      <w:lvlJc w:val="left"/>
      <w:pPr>
        <w:ind w:left="5760" w:hanging="360"/>
      </w:pPr>
    </w:lvl>
    <w:lvl w:ilvl="8" w:tplc="148A3BE4">
      <w:start w:val="1"/>
      <w:numFmt w:val="lowerRoman"/>
      <w:lvlText w:val="%9."/>
      <w:lvlJc w:val="right"/>
      <w:pPr>
        <w:ind w:left="6480" w:hanging="180"/>
      </w:pPr>
    </w:lvl>
  </w:abstractNum>
  <w:abstractNum w:abstractNumId="45">
    <w:nsid w:val="78E12F38"/>
    <w:multiLevelType w:val="hybridMultilevel"/>
    <w:tmpl w:val="7284A000"/>
    <w:lvl w:ilvl="0" w:tplc="2E6E7BCA">
      <w:start w:val="5"/>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nsid w:val="7A3475A1"/>
    <w:multiLevelType w:val="hybridMultilevel"/>
    <w:tmpl w:val="F6EA2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3D30A2"/>
    <w:multiLevelType w:val="hybridMultilevel"/>
    <w:tmpl w:val="8924D346"/>
    <w:lvl w:ilvl="0" w:tplc="A7281B2C">
      <w:start w:val="1"/>
      <w:numFmt w:val="decimal"/>
      <w:lvlText w:val="%1."/>
      <w:lvlJc w:val="left"/>
      <w:pPr>
        <w:ind w:left="36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651859"/>
    <w:multiLevelType w:val="hybridMultilevel"/>
    <w:tmpl w:val="A1CCB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8"/>
  </w:num>
  <w:num w:numId="3">
    <w:abstractNumId w:val="10"/>
  </w:num>
  <w:num w:numId="4">
    <w:abstractNumId w:val="24"/>
  </w:num>
  <w:num w:numId="5">
    <w:abstractNumId w:val="46"/>
  </w:num>
  <w:num w:numId="6">
    <w:abstractNumId w:val="31"/>
  </w:num>
  <w:num w:numId="7">
    <w:abstractNumId w:val="29"/>
  </w:num>
  <w:num w:numId="8">
    <w:abstractNumId w:val="9"/>
  </w:num>
  <w:num w:numId="9">
    <w:abstractNumId w:val="2"/>
  </w:num>
  <w:num w:numId="10">
    <w:abstractNumId w:val="30"/>
  </w:num>
  <w:num w:numId="11">
    <w:abstractNumId w:val="6"/>
  </w:num>
  <w:num w:numId="12">
    <w:abstractNumId w:val="33"/>
  </w:num>
  <w:num w:numId="13">
    <w:abstractNumId w:val="15"/>
  </w:num>
  <w:num w:numId="14">
    <w:abstractNumId w:val="23"/>
  </w:num>
  <w:num w:numId="15">
    <w:abstractNumId w:val="7"/>
  </w:num>
  <w:num w:numId="16">
    <w:abstractNumId w:val="28"/>
  </w:num>
  <w:num w:numId="17">
    <w:abstractNumId w:val="4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40"/>
  </w:num>
  <w:num w:numId="21">
    <w:abstractNumId w:val="12"/>
  </w:num>
  <w:num w:numId="22">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21"/>
  </w:num>
  <w:num w:numId="35">
    <w:abstractNumId w:val="38"/>
  </w:num>
  <w:num w:numId="36">
    <w:abstractNumId w:val="32"/>
  </w:num>
  <w:num w:numId="37">
    <w:abstractNumId w:val="18"/>
  </w:num>
  <w:num w:numId="38">
    <w:abstractNumId w:val="8"/>
  </w:num>
  <w:num w:numId="39">
    <w:abstractNumId w:val="11"/>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4"/>
  </w:num>
  <w:num w:numId="44">
    <w:abstractNumId w:val="43"/>
  </w:num>
  <w:num w:numId="45">
    <w:abstractNumId w:val="25"/>
  </w:num>
  <w:num w:numId="46">
    <w:abstractNumId w:val="3"/>
  </w:num>
  <w:num w:numId="47">
    <w:abstractNumId w:val="26"/>
  </w:num>
  <w:num w:numId="48">
    <w:abstractNumId w:val="22"/>
  </w:num>
  <w:num w:numId="49">
    <w:abstractNumId w:val="14"/>
  </w:num>
  <w:num w:numId="50">
    <w:abstractNumId w:val="36"/>
  </w:num>
  <w:num w:numId="51">
    <w:abstractNumId w:val="20"/>
  </w:num>
  <w:num w:numId="52">
    <w:abstractNumId w:val="34"/>
  </w:num>
  <w:num w:numId="53">
    <w:abstractNumId w:val="35"/>
  </w:num>
  <w:num w:numId="54">
    <w:abstractNumId w:val="42"/>
  </w:num>
  <w:num w:numId="55">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3D"/>
    <w:rsid w:val="00000B5F"/>
    <w:rsid w:val="000010A0"/>
    <w:rsid w:val="000019D4"/>
    <w:rsid w:val="00002696"/>
    <w:rsid w:val="000030E3"/>
    <w:rsid w:val="00003938"/>
    <w:rsid w:val="0000403F"/>
    <w:rsid w:val="00005701"/>
    <w:rsid w:val="00005830"/>
    <w:rsid w:val="00006AFD"/>
    <w:rsid w:val="00010048"/>
    <w:rsid w:val="000116F6"/>
    <w:rsid w:val="00014D79"/>
    <w:rsid w:val="00015040"/>
    <w:rsid w:val="0001666F"/>
    <w:rsid w:val="00016CCE"/>
    <w:rsid w:val="00016FFC"/>
    <w:rsid w:val="000170B7"/>
    <w:rsid w:val="00017D4D"/>
    <w:rsid w:val="000202CD"/>
    <w:rsid w:val="00021568"/>
    <w:rsid w:val="00021A83"/>
    <w:rsid w:val="00022DE2"/>
    <w:rsid w:val="00023B3F"/>
    <w:rsid w:val="00024C87"/>
    <w:rsid w:val="00025BC6"/>
    <w:rsid w:val="000269A5"/>
    <w:rsid w:val="00026C8F"/>
    <w:rsid w:val="00027379"/>
    <w:rsid w:val="0002797B"/>
    <w:rsid w:val="000317FE"/>
    <w:rsid w:val="000325A5"/>
    <w:rsid w:val="00032E1B"/>
    <w:rsid w:val="00037D2B"/>
    <w:rsid w:val="0004035F"/>
    <w:rsid w:val="00040834"/>
    <w:rsid w:val="000415C2"/>
    <w:rsid w:val="0004225F"/>
    <w:rsid w:val="000423E8"/>
    <w:rsid w:val="000428CD"/>
    <w:rsid w:val="0004298A"/>
    <w:rsid w:val="00043405"/>
    <w:rsid w:val="00043C9D"/>
    <w:rsid w:val="00044E5D"/>
    <w:rsid w:val="000451D5"/>
    <w:rsid w:val="00047C4E"/>
    <w:rsid w:val="000504B3"/>
    <w:rsid w:val="000505C9"/>
    <w:rsid w:val="000505D8"/>
    <w:rsid w:val="00050A4E"/>
    <w:rsid w:val="00050EA3"/>
    <w:rsid w:val="00053052"/>
    <w:rsid w:val="00053744"/>
    <w:rsid w:val="0005398D"/>
    <w:rsid w:val="000550F2"/>
    <w:rsid w:val="000557C4"/>
    <w:rsid w:val="00056D87"/>
    <w:rsid w:val="0005769F"/>
    <w:rsid w:val="0006007F"/>
    <w:rsid w:val="000611E4"/>
    <w:rsid w:val="000613D5"/>
    <w:rsid w:val="00061A94"/>
    <w:rsid w:val="00062D6D"/>
    <w:rsid w:val="0006335A"/>
    <w:rsid w:val="00063E99"/>
    <w:rsid w:val="000647DC"/>
    <w:rsid w:val="00064F5A"/>
    <w:rsid w:val="00066564"/>
    <w:rsid w:val="00066660"/>
    <w:rsid w:val="000666EF"/>
    <w:rsid w:val="00067660"/>
    <w:rsid w:val="00067E51"/>
    <w:rsid w:val="00071367"/>
    <w:rsid w:val="00071D74"/>
    <w:rsid w:val="00072457"/>
    <w:rsid w:val="00072E66"/>
    <w:rsid w:val="000731DD"/>
    <w:rsid w:val="00073D6C"/>
    <w:rsid w:val="00074EDB"/>
    <w:rsid w:val="0007501B"/>
    <w:rsid w:val="00077391"/>
    <w:rsid w:val="000800B1"/>
    <w:rsid w:val="00080754"/>
    <w:rsid w:val="000816D8"/>
    <w:rsid w:val="00081B8A"/>
    <w:rsid w:val="0008253C"/>
    <w:rsid w:val="00084F8D"/>
    <w:rsid w:val="00086BC8"/>
    <w:rsid w:val="000875E3"/>
    <w:rsid w:val="00087DEC"/>
    <w:rsid w:val="00087EBC"/>
    <w:rsid w:val="00090BE9"/>
    <w:rsid w:val="000927A5"/>
    <w:rsid w:val="00096A11"/>
    <w:rsid w:val="00096C30"/>
    <w:rsid w:val="000972A7"/>
    <w:rsid w:val="00097FFD"/>
    <w:rsid w:val="000A0843"/>
    <w:rsid w:val="000A1C0D"/>
    <w:rsid w:val="000A1E33"/>
    <w:rsid w:val="000A2049"/>
    <w:rsid w:val="000A248D"/>
    <w:rsid w:val="000A26A3"/>
    <w:rsid w:val="000A2871"/>
    <w:rsid w:val="000A383F"/>
    <w:rsid w:val="000A6808"/>
    <w:rsid w:val="000A69EE"/>
    <w:rsid w:val="000B19AE"/>
    <w:rsid w:val="000B19F4"/>
    <w:rsid w:val="000B28D0"/>
    <w:rsid w:val="000B2AAB"/>
    <w:rsid w:val="000B2E27"/>
    <w:rsid w:val="000B31CF"/>
    <w:rsid w:val="000B42D4"/>
    <w:rsid w:val="000B4AD0"/>
    <w:rsid w:val="000B58A5"/>
    <w:rsid w:val="000C0139"/>
    <w:rsid w:val="000C1357"/>
    <w:rsid w:val="000C2496"/>
    <w:rsid w:val="000C24FF"/>
    <w:rsid w:val="000C723E"/>
    <w:rsid w:val="000C7300"/>
    <w:rsid w:val="000C7C32"/>
    <w:rsid w:val="000D0210"/>
    <w:rsid w:val="000D0A77"/>
    <w:rsid w:val="000D10E2"/>
    <w:rsid w:val="000D12C3"/>
    <w:rsid w:val="000D1B4D"/>
    <w:rsid w:val="000D31DF"/>
    <w:rsid w:val="000D61F0"/>
    <w:rsid w:val="000D668C"/>
    <w:rsid w:val="000D7639"/>
    <w:rsid w:val="000E20E2"/>
    <w:rsid w:val="000E24EF"/>
    <w:rsid w:val="000E36F7"/>
    <w:rsid w:val="000E444E"/>
    <w:rsid w:val="000E4891"/>
    <w:rsid w:val="000E6920"/>
    <w:rsid w:val="000F09CE"/>
    <w:rsid w:val="000F5094"/>
    <w:rsid w:val="000F5AB6"/>
    <w:rsid w:val="000F6101"/>
    <w:rsid w:val="000F7E7E"/>
    <w:rsid w:val="000F7EC7"/>
    <w:rsid w:val="001016EB"/>
    <w:rsid w:val="0010197D"/>
    <w:rsid w:val="00102D68"/>
    <w:rsid w:val="001043AD"/>
    <w:rsid w:val="00104C7F"/>
    <w:rsid w:val="00105DFC"/>
    <w:rsid w:val="00106733"/>
    <w:rsid w:val="00107A86"/>
    <w:rsid w:val="00110191"/>
    <w:rsid w:val="00110F73"/>
    <w:rsid w:val="00112033"/>
    <w:rsid w:val="00115BFE"/>
    <w:rsid w:val="001215A4"/>
    <w:rsid w:val="001219C9"/>
    <w:rsid w:val="00124764"/>
    <w:rsid w:val="0012502B"/>
    <w:rsid w:val="00125CAC"/>
    <w:rsid w:val="00126789"/>
    <w:rsid w:val="0013075C"/>
    <w:rsid w:val="00130DFE"/>
    <w:rsid w:val="0013371C"/>
    <w:rsid w:val="00133DAF"/>
    <w:rsid w:val="0013424F"/>
    <w:rsid w:val="0013572C"/>
    <w:rsid w:val="001367A4"/>
    <w:rsid w:val="0014003A"/>
    <w:rsid w:val="00141BB2"/>
    <w:rsid w:val="0014280B"/>
    <w:rsid w:val="00145A75"/>
    <w:rsid w:val="00150A30"/>
    <w:rsid w:val="0015206F"/>
    <w:rsid w:val="00152E97"/>
    <w:rsid w:val="00152FA2"/>
    <w:rsid w:val="00155A97"/>
    <w:rsid w:val="0016073A"/>
    <w:rsid w:val="00160A0E"/>
    <w:rsid w:val="00160D2D"/>
    <w:rsid w:val="00161390"/>
    <w:rsid w:val="001635D1"/>
    <w:rsid w:val="00164001"/>
    <w:rsid w:val="001667B8"/>
    <w:rsid w:val="00166E6E"/>
    <w:rsid w:val="00166FB8"/>
    <w:rsid w:val="0016726A"/>
    <w:rsid w:val="001710C8"/>
    <w:rsid w:val="0017177A"/>
    <w:rsid w:val="0017181B"/>
    <w:rsid w:val="00171ECB"/>
    <w:rsid w:val="00172C22"/>
    <w:rsid w:val="00172D5E"/>
    <w:rsid w:val="00173168"/>
    <w:rsid w:val="001733BF"/>
    <w:rsid w:val="001806F7"/>
    <w:rsid w:val="00180E5F"/>
    <w:rsid w:val="00181465"/>
    <w:rsid w:val="00181EED"/>
    <w:rsid w:val="00184ECC"/>
    <w:rsid w:val="001866F6"/>
    <w:rsid w:val="00186C79"/>
    <w:rsid w:val="0019135E"/>
    <w:rsid w:val="00192129"/>
    <w:rsid w:val="001930DD"/>
    <w:rsid w:val="00193692"/>
    <w:rsid w:val="00193FB1"/>
    <w:rsid w:val="00194949"/>
    <w:rsid w:val="001950B4"/>
    <w:rsid w:val="00196571"/>
    <w:rsid w:val="0019729D"/>
    <w:rsid w:val="001978B2"/>
    <w:rsid w:val="00197AE9"/>
    <w:rsid w:val="00197E61"/>
    <w:rsid w:val="001A0E88"/>
    <w:rsid w:val="001A14E6"/>
    <w:rsid w:val="001A5820"/>
    <w:rsid w:val="001A5ABA"/>
    <w:rsid w:val="001B33A0"/>
    <w:rsid w:val="001B4476"/>
    <w:rsid w:val="001C01CB"/>
    <w:rsid w:val="001C10E9"/>
    <w:rsid w:val="001C23AD"/>
    <w:rsid w:val="001C319C"/>
    <w:rsid w:val="001C3702"/>
    <w:rsid w:val="001C3DD0"/>
    <w:rsid w:val="001C53E5"/>
    <w:rsid w:val="001C758A"/>
    <w:rsid w:val="001C75A6"/>
    <w:rsid w:val="001C7B4C"/>
    <w:rsid w:val="001D01F4"/>
    <w:rsid w:val="001D0C6D"/>
    <w:rsid w:val="001D24F3"/>
    <w:rsid w:val="001D3377"/>
    <w:rsid w:val="001D6245"/>
    <w:rsid w:val="001D6C89"/>
    <w:rsid w:val="001D7859"/>
    <w:rsid w:val="001D7CEF"/>
    <w:rsid w:val="001E0D0F"/>
    <w:rsid w:val="001E14A3"/>
    <w:rsid w:val="001E22EC"/>
    <w:rsid w:val="001E50CB"/>
    <w:rsid w:val="001E59C9"/>
    <w:rsid w:val="001E6057"/>
    <w:rsid w:val="001E779F"/>
    <w:rsid w:val="001F07B7"/>
    <w:rsid w:val="001F2DEF"/>
    <w:rsid w:val="001F3750"/>
    <w:rsid w:val="001F3CCF"/>
    <w:rsid w:val="001F4116"/>
    <w:rsid w:val="001F43FB"/>
    <w:rsid w:val="001F4B3F"/>
    <w:rsid w:val="001F4D07"/>
    <w:rsid w:val="001F5E9B"/>
    <w:rsid w:val="001F7316"/>
    <w:rsid w:val="00200519"/>
    <w:rsid w:val="00200A07"/>
    <w:rsid w:val="00201D34"/>
    <w:rsid w:val="0020498C"/>
    <w:rsid w:val="00210174"/>
    <w:rsid w:val="00210496"/>
    <w:rsid w:val="002122D6"/>
    <w:rsid w:val="00213AC2"/>
    <w:rsid w:val="00213EF2"/>
    <w:rsid w:val="00214C0F"/>
    <w:rsid w:val="00214C8B"/>
    <w:rsid w:val="002154C3"/>
    <w:rsid w:val="00216D46"/>
    <w:rsid w:val="002208D4"/>
    <w:rsid w:val="00221154"/>
    <w:rsid w:val="00221EB6"/>
    <w:rsid w:val="00222C36"/>
    <w:rsid w:val="0022368D"/>
    <w:rsid w:val="002245F0"/>
    <w:rsid w:val="00225670"/>
    <w:rsid w:val="00225E49"/>
    <w:rsid w:val="0023005B"/>
    <w:rsid w:val="0023332E"/>
    <w:rsid w:val="002343C7"/>
    <w:rsid w:val="0023672B"/>
    <w:rsid w:val="002367E6"/>
    <w:rsid w:val="00240265"/>
    <w:rsid w:val="00240EB2"/>
    <w:rsid w:val="002417F6"/>
    <w:rsid w:val="00241A9A"/>
    <w:rsid w:val="00243EDA"/>
    <w:rsid w:val="00245283"/>
    <w:rsid w:val="00245DCD"/>
    <w:rsid w:val="002460F0"/>
    <w:rsid w:val="0024743D"/>
    <w:rsid w:val="00250211"/>
    <w:rsid w:val="002505C9"/>
    <w:rsid w:val="0025123D"/>
    <w:rsid w:val="0025280F"/>
    <w:rsid w:val="00252FC1"/>
    <w:rsid w:val="002550E9"/>
    <w:rsid w:val="00257681"/>
    <w:rsid w:val="00257F82"/>
    <w:rsid w:val="00260D20"/>
    <w:rsid w:val="002610EF"/>
    <w:rsid w:val="00262CAD"/>
    <w:rsid w:val="0026378E"/>
    <w:rsid w:val="00263E7B"/>
    <w:rsid w:val="0026560E"/>
    <w:rsid w:val="00265FCC"/>
    <w:rsid w:val="00266700"/>
    <w:rsid w:val="002670FB"/>
    <w:rsid w:val="00270369"/>
    <w:rsid w:val="00271851"/>
    <w:rsid w:val="002740BE"/>
    <w:rsid w:val="00274266"/>
    <w:rsid w:val="00275920"/>
    <w:rsid w:val="00275B0B"/>
    <w:rsid w:val="0027634E"/>
    <w:rsid w:val="00277165"/>
    <w:rsid w:val="00277E84"/>
    <w:rsid w:val="00281706"/>
    <w:rsid w:val="002834C5"/>
    <w:rsid w:val="002846D8"/>
    <w:rsid w:val="00287769"/>
    <w:rsid w:val="00287D4D"/>
    <w:rsid w:val="00287E3A"/>
    <w:rsid w:val="002922BE"/>
    <w:rsid w:val="00292747"/>
    <w:rsid w:val="00292CA3"/>
    <w:rsid w:val="0029504C"/>
    <w:rsid w:val="00295CA8"/>
    <w:rsid w:val="0029723A"/>
    <w:rsid w:val="002977B6"/>
    <w:rsid w:val="00297A9D"/>
    <w:rsid w:val="002A01EE"/>
    <w:rsid w:val="002A159B"/>
    <w:rsid w:val="002A1772"/>
    <w:rsid w:val="002A232B"/>
    <w:rsid w:val="002A235D"/>
    <w:rsid w:val="002A2959"/>
    <w:rsid w:val="002A38E7"/>
    <w:rsid w:val="002A4635"/>
    <w:rsid w:val="002A6B4F"/>
    <w:rsid w:val="002A7823"/>
    <w:rsid w:val="002A7933"/>
    <w:rsid w:val="002A7C6D"/>
    <w:rsid w:val="002A7CFC"/>
    <w:rsid w:val="002B15E5"/>
    <w:rsid w:val="002B29F7"/>
    <w:rsid w:val="002B3514"/>
    <w:rsid w:val="002B41FF"/>
    <w:rsid w:val="002B4AA2"/>
    <w:rsid w:val="002B65C4"/>
    <w:rsid w:val="002B7CE1"/>
    <w:rsid w:val="002C0C6F"/>
    <w:rsid w:val="002C2C99"/>
    <w:rsid w:val="002C4180"/>
    <w:rsid w:val="002C42AD"/>
    <w:rsid w:val="002C4573"/>
    <w:rsid w:val="002C5A27"/>
    <w:rsid w:val="002D0B41"/>
    <w:rsid w:val="002D1A1F"/>
    <w:rsid w:val="002D1BA0"/>
    <w:rsid w:val="002D3AE0"/>
    <w:rsid w:val="002D42A9"/>
    <w:rsid w:val="002D56E6"/>
    <w:rsid w:val="002E321F"/>
    <w:rsid w:val="002E3AEE"/>
    <w:rsid w:val="002E3BB4"/>
    <w:rsid w:val="002E4B7E"/>
    <w:rsid w:val="002E64D8"/>
    <w:rsid w:val="002E7182"/>
    <w:rsid w:val="002E7BD6"/>
    <w:rsid w:val="002F0A6D"/>
    <w:rsid w:val="002F190B"/>
    <w:rsid w:val="002F3F68"/>
    <w:rsid w:val="002F59F8"/>
    <w:rsid w:val="002F5C9C"/>
    <w:rsid w:val="002F7051"/>
    <w:rsid w:val="00301166"/>
    <w:rsid w:val="003035EF"/>
    <w:rsid w:val="003036B0"/>
    <w:rsid w:val="0030483B"/>
    <w:rsid w:val="00305D8F"/>
    <w:rsid w:val="00307C7F"/>
    <w:rsid w:val="0031003C"/>
    <w:rsid w:val="00310044"/>
    <w:rsid w:val="0031079F"/>
    <w:rsid w:val="003109EB"/>
    <w:rsid w:val="00310BA4"/>
    <w:rsid w:val="00310DEE"/>
    <w:rsid w:val="003110E0"/>
    <w:rsid w:val="00311F73"/>
    <w:rsid w:val="00312425"/>
    <w:rsid w:val="00312629"/>
    <w:rsid w:val="00312BBC"/>
    <w:rsid w:val="00313303"/>
    <w:rsid w:val="00313513"/>
    <w:rsid w:val="00314ABD"/>
    <w:rsid w:val="0031743E"/>
    <w:rsid w:val="00317777"/>
    <w:rsid w:val="003200F7"/>
    <w:rsid w:val="00320431"/>
    <w:rsid w:val="00320FA6"/>
    <w:rsid w:val="00322B9A"/>
    <w:rsid w:val="00324BD3"/>
    <w:rsid w:val="00324DB9"/>
    <w:rsid w:val="0032611A"/>
    <w:rsid w:val="00326F67"/>
    <w:rsid w:val="00327125"/>
    <w:rsid w:val="00331A3E"/>
    <w:rsid w:val="003336CD"/>
    <w:rsid w:val="00333D80"/>
    <w:rsid w:val="00333D81"/>
    <w:rsid w:val="00334032"/>
    <w:rsid w:val="0033522C"/>
    <w:rsid w:val="0033560D"/>
    <w:rsid w:val="00336FCB"/>
    <w:rsid w:val="00337ACF"/>
    <w:rsid w:val="00337F3E"/>
    <w:rsid w:val="00340B79"/>
    <w:rsid w:val="00340E46"/>
    <w:rsid w:val="0034174B"/>
    <w:rsid w:val="00341E49"/>
    <w:rsid w:val="0034240A"/>
    <w:rsid w:val="00343C8E"/>
    <w:rsid w:val="00344778"/>
    <w:rsid w:val="003451A8"/>
    <w:rsid w:val="00346216"/>
    <w:rsid w:val="00347747"/>
    <w:rsid w:val="00353D0C"/>
    <w:rsid w:val="00355D95"/>
    <w:rsid w:val="00357001"/>
    <w:rsid w:val="00360E44"/>
    <w:rsid w:val="0036451C"/>
    <w:rsid w:val="00364660"/>
    <w:rsid w:val="00364F66"/>
    <w:rsid w:val="003673EE"/>
    <w:rsid w:val="003723A9"/>
    <w:rsid w:val="003724BE"/>
    <w:rsid w:val="00373356"/>
    <w:rsid w:val="003737C9"/>
    <w:rsid w:val="00374283"/>
    <w:rsid w:val="0037536F"/>
    <w:rsid w:val="00376ECA"/>
    <w:rsid w:val="00380716"/>
    <w:rsid w:val="003824ED"/>
    <w:rsid w:val="0038257A"/>
    <w:rsid w:val="00384C43"/>
    <w:rsid w:val="00384CDC"/>
    <w:rsid w:val="00386B64"/>
    <w:rsid w:val="00387039"/>
    <w:rsid w:val="0039073B"/>
    <w:rsid w:val="0039082E"/>
    <w:rsid w:val="00391452"/>
    <w:rsid w:val="00392228"/>
    <w:rsid w:val="00392697"/>
    <w:rsid w:val="003930E7"/>
    <w:rsid w:val="00393A92"/>
    <w:rsid w:val="00395C21"/>
    <w:rsid w:val="00395DDC"/>
    <w:rsid w:val="003964E4"/>
    <w:rsid w:val="00396CDB"/>
    <w:rsid w:val="00397365"/>
    <w:rsid w:val="00397E0D"/>
    <w:rsid w:val="003A04DD"/>
    <w:rsid w:val="003A0788"/>
    <w:rsid w:val="003A1CE2"/>
    <w:rsid w:val="003A1EF6"/>
    <w:rsid w:val="003A2882"/>
    <w:rsid w:val="003A2D13"/>
    <w:rsid w:val="003A43D8"/>
    <w:rsid w:val="003A4F3D"/>
    <w:rsid w:val="003A663E"/>
    <w:rsid w:val="003A694F"/>
    <w:rsid w:val="003B147F"/>
    <w:rsid w:val="003B1F38"/>
    <w:rsid w:val="003B3265"/>
    <w:rsid w:val="003B4143"/>
    <w:rsid w:val="003B4877"/>
    <w:rsid w:val="003B4999"/>
    <w:rsid w:val="003B5DD6"/>
    <w:rsid w:val="003B6738"/>
    <w:rsid w:val="003B7089"/>
    <w:rsid w:val="003B7F24"/>
    <w:rsid w:val="003C15DC"/>
    <w:rsid w:val="003C1D58"/>
    <w:rsid w:val="003C23D3"/>
    <w:rsid w:val="003C3AD9"/>
    <w:rsid w:val="003C3F79"/>
    <w:rsid w:val="003C5917"/>
    <w:rsid w:val="003C5CED"/>
    <w:rsid w:val="003C6AD7"/>
    <w:rsid w:val="003C6C22"/>
    <w:rsid w:val="003C7CB5"/>
    <w:rsid w:val="003D2262"/>
    <w:rsid w:val="003D30AC"/>
    <w:rsid w:val="003D32EB"/>
    <w:rsid w:val="003D3A14"/>
    <w:rsid w:val="003D3DBA"/>
    <w:rsid w:val="003D6B02"/>
    <w:rsid w:val="003D7A2D"/>
    <w:rsid w:val="003E196A"/>
    <w:rsid w:val="003E23E8"/>
    <w:rsid w:val="003E2D92"/>
    <w:rsid w:val="003E4AD8"/>
    <w:rsid w:val="003E4CC6"/>
    <w:rsid w:val="003E501D"/>
    <w:rsid w:val="003E5F07"/>
    <w:rsid w:val="003E6195"/>
    <w:rsid w:val="003E638F"/>
    <w:rsid w:val="003E67EC"/>
    <w:rsid w:val="003E757C"/>
    <w:rsid w:val="003E7D6D"/>
    <w:rsid w:val="003F277D"/>
    <w:rsid w:val="003F31D8"/>
    <w:rsid w:val="003F3BF9"/>
    <w:rsid w:val="003F3F6E"/>
    <w:rsid w:val="003F439B"/>
    <w:rsid w:val="003F60BA"/>
    <w:rsid w:val="00401BAA"/>
    <w:rsid w:val="00402486"/>
    <w:rsid w:val="00404B0D"/>
    <w:rsid w:val="004051DB"/>
    <w:rsid w:val="00405ABD"/>
    <w:rsid w:val="00407DC0"/>
    <w:rsid w:val="00412352"/>
    <w:rsid w:val="00412671"/>
    <w:rsid w:val="00412801"/>
    <w:rsid w:val="00413294"/>
    <w:rsid w:val="004133BE"/>
    <w:rsid w:val="0041445A"/>
    <w:rsid w:val="00414798"/>
    <w:rsid w:val="00415700"/>
    <w:rsid w:val="00417779"/>
    <w:rsid w:val="00420D7A"/>
    <w:rsid w:val="00421825"/>
    <w:rsid w:val="004223FD"/>
    <w:rsid w:val="0042244E"/>
    <w:rsid w:val="0042312C"/>
    <w:rsid w:val="00423484"/>
    <w:rsid w:val="00424EAB"/>
    <w:rsid w:val="004265F7"/>
    <w:rsid w:val="004271A5"/>
    <w:rsid w:val="004321F4"/>
    <w:rsid w:val="004323B8"/>
    <w:rsid w:val="00432865"/>
    <w:rsid w:val="00432FFE"/>
    <w:rsid w:val="004334D2"/>
    <w:rsid w:val="004345EA"/>
    <w:rsid w:val="00441781"/>
    <w:rsid w:val="00442FF2"/>
    <w:rsid w:val="00445BFD"/>
    <w:rsid w:val="004464C2"/>
    <w:rsid w:val="00447706"/>
    <w:rsid w:val="00453261"/>
    <w:rsid w:val="00453267"/>
    <w:rsid w:val="00455D15"/>
    <w:rsid w:val="00455ED1"/>
    <w:rsid w:val="00456EB0"/>
    <w:rsid w:val="0046036A"/>
    <w:rsid w:val="00460E1D"/>
    <w:rsid w:val="00461047"/>
    <w:rsid w:val="004615EC"/>
    <w:rsid w:val="0046214E"/>
    <w:rsid w:val="00463052"/>
    <w:rsid w:val="004632A9"/>
    <w:rsid w:val="004645DC"/>
    <w:rsid w:val="00465D4D"/>
    <w:rsid w:val="0046649D"/>
    <w:rsid w:val="00466A0B"/>
    <w:rsid w:val="004675AF"/>
    <w:rsid w:val="00470F53"/>
    <w:rsid w:val="00470FC1"/>
    <w:rsid w:val="0047182F"/>
    <w:rsid w:val="0047280B"/>
    <w:rsid w:val="00473042"/>
    <w:rsid w:val="00474E64"/>
    <w:rsid w:val="00474F9B"/>
    <w:rsid w:val="00475B41"/>
    <w:rsid w:val="004769A3"/>
    <w:rsid w:val="00476C94"/>
    <w:rsid w:val="0048146C"/>
    <w:rsid w:val="0048194F"/>
    <w:rsid w:val="00482B24"/>
    <w:rsid w:val="00484FDB"/>
    <w:rsid w:val="00485659"/>
    <w:rsid w:val="004864C7"/>
    <w:rsid w:val="0048694B"/>
    <w:rsid w:val="004869BE"/>
    <w:rsid w:val="00486AED"/>
    <w:rsid w:val="0049235B"/>
    <w:rsid w:val="004927C3"/>
    <w:rsid w:val="00492FB5"/>
    <w:rsid w:val="0049374A"/>
    <w:rsid w:val="004937F4"/>
    <w:rsid w:val="00493F26"/>
    <w:rsid w:val="004940E9"/>
    <w:rsid w:val="00495AFA"/>
    <w:rsid w:val="00495D39"/>
    <w:rsid w:val="00495D9F"/>
    <w:rsid w:val="004967BC"/>
    <w:rsid w:val="00496812"/>
    <w:rsid w:val="0049738E"/>
    <w:rsid w:val="004973BF"/>
    <w:rsid w:val="004A07DC"/>
    <w:rsid w:val="004A18C6"/>
    <w:rsid w:val="004A1A65"/>
    <w:rsid w:val="004A1D5D"/>
    <w:rsid w:val="004A3CE5"/>
    <w:rsid w:val="004A62CD"/>
    <w:rsid w:val="004A770B"/>
    <w:rsid w:val="004A7D29"/>
    <w:rsid w:val="004B1336"/>
    <w:rsid w:val="004B1D28"/>
    <w:rsid w:val="004B3C77"/>
    <w:rsid w:val="004B449E"/>
    <w:rsid w:val="004B464D"/>
    <w:rsid w:val="004B4FFD"/>
    <w:rsid w:val="004B5BE0"/>
    <w:rsid w:val="004B6B63"/>
    <w:rsid w:val="004C0331"/>
    <w:rsid w:val="004C1408"/>
    <w:rsid w:val="004C22E9"/>
    <w:rsid w:val="004C40E1"/>
    <w:rsid w:val="004C4A1C"/>
    <w:rsid w:val="004C54F3"/>
    <w:rsid w:val="004C56FA"/>
    <w:rsid w:val="004C62D0"/>
    <w:rsid w:val="004C7818"/>
    <w:rsid w:val="004D44B9"/>
    <w:rsid w:val="004D57D9"/>
    <w:rsid w:val="004D68B5"/>
    <w:rsid w:val="004D774A"/>
    <w:rsid w:val="004E42D5"/>
    <w:rsid w:val="004E60C6"/>
    <w:rsid w:val="004E6226"/>
    <w:rsid w:val="004E6696"/>
    <w:rsid w:val="004E7437"/>
    <w:rsid w:val="004E76AB"/>
    <w:rsid w:val="004E7C81"/>
    <w:rsid w:val="004F32D9"/>
    <w:rsid w:val="004F34A1"/>
    <w:rsid w:val="004F350C"/>
    <w:rsid w:val="004F3B3E"/>
    <w:rsid w:val="004F59E3"/>
    <w:rsid w:val="004F60C5"/>
    <w:rsid w:val="004F6309"/>
    <w:rsid w:val="00501BD3"/>
    <w:rsid w:val="005025A9"/>
    <w:rsid w:val="00503924"/>
    <w:rsid w:val="00503FF5"/>
    <w:rsid w:val="005043BC"/>
    <w:rsid w:val="0050550C"/>
    <w:rsid w:val="00505FA5"/>
    <w:rsid w:val="005066F9"/>
    <w:rsid w:val="005108D2"/>
    <w:rsid w:val="00510C2E"/>
    <w:rsid w:val="00510CB5"/>
    <w:rsid w:val="00511440"/>
    <w:rsid w:val="005118CE"/>
    <w:rsid w:val="00513F61"/>
    <w:rsid w:val="00514B52"/>
    <w:rsid w:val="00514E47"/>
    <w:rsid w:val="005150FA"/>
    <w:rsid w:val="00516C54"/>
    <w:rsid w:val="00517318"/>
    <w:rsid w:val="00517B14"/>
    <w:rsid w:val="00517C20"/>
    <w:rsid w:val="00520274"/>
    <w:rsid w:val="005236F3"/>
    <w:rsid w:val="00524012"/>
    <w:rsid w:val="00524714"/>
    <w:rsid w:val="005256F4"/>
    <w:rsid w:val="005269BC"/>
    <w:rsid w:val="00530F3A"/>
    <w:rsid w:val="0053118E"/>
    <w:rsid w:val="00531CAF"/>
    <w:rsid w:val="0053274A"/>
    <w:rsid w:val="00533133"/>
    <w:rsid w:val="005357DA"/>
    <w:rsid w:val="0053669C"/>
    <w:rsid w:val="00536DF6"/>
    <w:rsid w:val="0053711D"/>
    <w:rsid w:val="00537459"/>
    <w:rsid w:val="00537624"/>
    <w:rsid w:val="00537B7A"/>
    <w:rsid w:val="00541564"/>
    <w:rsid w:val="0054209D"/>
    <w:rsid w:val="005422E6"/>
    <w:rsid w:val="00543D31"/>
    <w:rsid w:val="0054435F"/>
    <w:rsid w:val="005445CC"/>
    <w:rsid w:val="00546A71"/>
    <w:rsid w:val="00547DBE"/>
    <w:rsid w:val="0055064F"/>
    <w:rsid w:val="005514E2"/>
    <w:rsid w:val="00552E80"/>
    <w:rsid w:val="005532EE"/>
    <w:rsid w:val="00553935"/>
    <w:rsid w:val="00553E45"/>
    <w:rsid w:val="00554A66"/>
    <w:rsid w:val="00554E0E"/>
    <w:rsid w:val="00556F1D"/>
    <w:rsid w:val="00561E96"/>
    <w:rsid w:val="005650DE"/>
    <w:rsid w:val="00567E66"/>
    <w:rsid w:val="0057047C"/>
    <w:rsid w:val="00570754"/>
    <w:rsid w:val="00571256"/>
    <w:rsid w:val="00571D3E"/>
    <w:rsid w:val="005728AA"/>
    <w:rsid w:val="00572EEC"/>
    <w:rsid w:val="0057376A"/>
    <w:rsid w:val="00574561"/>
    <w:rsid w:val="00574F7F"/>
    <w:rsid w:val="0057539A"/>
    <w:rsid w:val="00575763"/>
    <w:rsid w:val="00577346"/>
    <w:rsid w:val="0058017C"/>
    <w:rsid w:val="00580631"/>
    <w:rsid w:val="00581065"/>
    <w:rsid w:val="00581654"/>
    <w:rsid w:val="00582036"/>
    <w:rsid w:val="005820F5"/>
    <w:rsid w:val="0058249F"/>
    <w:rsid w:val="00583833"/>
    <w:rsid w:val="00583AA6"/>
    <w:rsid w:val="00583DEB"/>
    <w:rsid w:val="00585C1C"/>
    <w:rsid w:val="00586460"/>
    <w:rsid w:val="00586A09"/>
    <w:rsid w:val="0058773F"/>
    <w:rsid w:val="00590BB5"/>
    <w:rsid w:val="00591EB9"/>
    <w:rsid w:val="00593D80"/>
    <w:rsid w:val="0059565C"/>
    <w:rsid w:val="00596605"/>
    <w:rsid w:val="00596F19"/>
    <w:rsid w:val="005A0ADF"/>
    <w:rsid w:val="005A0DE2"/>
    <w:rsid w:val="005A0FF8"/>
    <w:rsid w:val="005A160C"/>
    <w:rsid w:val="005A493F"/>
    <w:rsid w:val="005A4ED4"/>
    <w:rsid w:val="005A5FA5"/>
    <w:rsid w:val="005A6523"/>
    <w:rsid w:val="005A6585"/>
    <w:rsid w:val="005B03F8"/>
    <w:rsid w:val="005B0E15"/>
    <w:rsid w:val="005B1270"/>
    <w:rsid w:val="005B207F"/>
    <w:rsid w:val="005B261C"/>
    <w:rsid w:val="005B28E5"/>
    <w:rsid w:val="005B3B33"/>
    <w:rsid w:val="005B4295"/>
    <w:rsid w:val="005B4EBC"/>
    <w:rsid w:val="005B4FC4"/>
    <w:rsid w:val="005B621D"/>
    <w:rsid w:val="005B6345"/>
    <w:rsid w:val="005B7C1F"/>
    <w:rsid w:val="005C1DCF"/>
    <w:rsid w:val="005C43BF"/>
    <w:rsid w:val="005C45D1"/>
    <w:rsid w:val="005C4A47"/>
    <w:rsid w:val="005C5875"/>
    <w:rsid w:val="005C6263"/>
    <w:rsid w:val="005C6D07"/>
    <w:rsid w:val="005C7F38"/>
    <w:rsid w:val="005D052E"/>
    <w:rsid w:val="005D0DAD"/>
    <w:rsid w:val="005D287C"/>
    <w:rsid w:val="005D3686"/>
    <w:rsid w:val="005D38B1"/>
    <w:rsid w:val="005D40F8"/>
    <w:rsid w:val="005D4210"/>
    <w:rsid w:val="005D5A5D"/>
    <w:rsid w:val="005E3BA1"/>
    <w:rsid w:val="005E3BF8"/>
    <w:rsid w:val="005E5015"/>
    <w:rsid w:val="005E50C0"/>
    <w:rsid w:val="005E5BA6"/>
    <w:rsid w:val="005E6BC8"/>
    <w:rsid w:val="005E6D2B"/>
    <w:rsid w:val="005F0E1F"/>
    <w:rsid w:val="005F4095"/>
    <w:rsid w:val="005F421A"/>
    <w:rsid w:val="005F5ADD"/>
    <w:rsid w:val="005F5C41"/>
    <w:rsid w:val="005F7988"/>
    <w:rsid w:val="005F7D0B"/>
    <w:rsid w:val="00601605"/>
    <w:rsid w:val="006020B5"/>
    <w:rsid w:val="006025A6"/>
    <w:rsid w:val="00604B51"/>
    <w:rsid w:val="00604BE5"/>
    <w:rsid w:val="006060DE"/>
    <w:rsid w:val="006075A2"/>
    <w:rsid w:val="00607B0E"/>
    <w:rsid w:val="00610A89"/>
    <w:rsid w:val="00613636"/>
    <w:rsid w:val="006137F3"/>
    <w:rsid w:val="006143F7"/>
    <w:rsid w:val="00614A45"/>
    <w:rsid w:val="00615425"/>
    <w:rsid w:val="00615492"/>
    <w:rsid w:val="00615C1D"/>
    <w:rsid w:val="0061713E"/>
    <w:rsid w:val="0061735B"/>
    <w:rsid w:val="00620192"/>
    <w:rsid w:val="0062149D"/>
    <w:rsid w:val="006224E1"/>
    <w:rsid w:val="00623C73"/>
    <w:rsid w:val="0062429A"/>
    <w:rsid w:val="00624D64"/>
    <w:rsid w:val="006266CA"/>
    <w:rsid w:val="00630B23"/>
    <w:rsid w:val="0063200C"/>
    <w:rsid w:val="00633229"/>
    <w:rsid w:val="006334AB"/>
    <w:rsid w:val="00633874"/>
    <w:rsid w:val="00633FB6"/>
    <w:rsid w:val="00635C3D"/>
    <w:rsid w:val="00635CAA"/>
    <w:rsid w:val="00636976"/>
    <w:rsid w:val="00637C0A"/>
    <w:rsid w:val="00640DBC"/>
    <w:rsid w:val="00642F32"/>
    <w:rsid w:val="006458A3"/>
    <w:rsid w:val="006463CC"/>
    <w:rsid w:val="006468CB"/>
    <w:rsid w:val="006476E3"/>
    <w:rsid w:val="0065104B"/>
    <w:rsid w:val="0065127B"/>
    <w:rsid w:val="00652359"/>
    <w:rsid w:val="00652BCC"/>
    <w:rsid w:val="00652E7C"/>
    <w:rsid w:val="00653306"/>
    <w:rsid w:val="00654A1C"/>
    <w:rsid w:val="00655020"/>
    <w:rsid w:val="006564A3"/>
    <w:rsid w:val="00657830"/>
    <w:rsid w:val="00657B08"/>
    <w:rsid w:val="0066194D"/>
    <w:rsid w:val="00662290"/>
    <w:rsid w:val="00664F3C"/>
    <w:rsid w:val="0066580C"/>
    <w:rsid w:val="006658E5"/>
    <w:rsid w:val="00667589"/>
    <w:rsid w:val="00670B3F"/>
    <w:rsid w:val="00671F21"/>
    <w:rsid w:val="00675D78"/>
    <w:rsid w:val="006763D6"/>
    <w:rsid w:val="00677257"/>
    <w:rsid w:val="00677A92"/>
    <w:rsid w:val="00677D8F"/>
    <w:rsid w:val="006810A7"/>
    <w:rsid w:val="0068285D"/>
    <w:rsid w:val="00683F46"/>
    <w:rsid w:val="00684478"/>
    <w:rsid w:val="006867FA"/>
    <w:rsid w:val="00687023"/>
    <w:rsid w:val="0068740F"/>
    <w:rsid w:val="00692937"/>
    <w:rsid w:val="006940FB"/>
    <w:rsid w:val="00694871"/>
    <w:rsid w:val="00695121"/>
    <w:rsid w:val="00697210"/>
    <w:rsid w:val="006A19C6"/>
    <w:rsid w:val="006A49BF"/>
    <w:rsid w:val="006A5E01"/>
    <w:rsid w:val="006A6603"/>
    <w:rsid w:val="006A7A15"/>
    <w:rsid w:val="006A7A98"/>
    <w:rsid w:val="006B1704"/>
    <w:rsid w:val="006B3874"/>
    <w:rsid w:val="006B4E9C"/>
    <w:rsid w:val="006B5610"/>
    <w:rsid w:val="006B588B"/>
    <w:rsid w:val="006B705F"/>
    <w:rsid w:val="006B71DC"/>
    <w:rsid w:val="006B73FA"/>
    <w:rsid w:val="006C041C"/>
    <w:rsid w:val="006C0E82"/>
    <w:rsid w:val="006C2688"/>
    <w:rsid w:val="006C2ACA"/>
    <w:rsid w:val="006C79F6"/>
    <w:rsid w:val="006D00C5"/>
    <w:rsid w:val="006D17C0"/>
    <w:rsid w:val="006D339F"/>
    <w:rsid w:val="006D387C"/>
    <w:rsid w:val="006D3CCB"/>
    <w:rsid w:val="006D546D"/>
    <w:rsid w:val="006D6742"/>
    <w:rsid w:val="006D6815"/>
    <w:rsid w:val="006D68E9"/>
    <w:rsid w:val="006D6C21"/>
    <w:rsid w:val="006D766B"/>
    <w:rsid w:val="006E0F36"/>
    <w:rsid w:val="006E2175"/>
    <w:rsid w:val="006E27F0"/>
    <w:rsid w:val="006E2E99"/>
    <w:rsid w:val="006E3354"/>
    <w:rsid w:val="006E5926"/>
    <w:rsid w:val="006E5BAA"/>
    <w:rsid w:val="006E5DD0"/>
    <w:rsid w:val="006E6192"/>
    <w:rsid w:val="006E66C8"/>
    <w:rsid w:val="006E7604"/>
    <w:rsid w:val="006E7F30"/>
    <w:rsid w:val="006F2172"/>
    <w:rsid w:val="006F307E"/>
    <w:rsid w:val="006F3DFC"/>
    <w:rsid w:val="006F47DC"/>
    <w:rsid w:val="006F6A48"/>
    <w:rsid w:val="006F792E"/>
    <w:rsid w:val="00701472"/>
    <w:rsid w:val="00702311"/>
    <w:rsid w:val="00702433"/>
    <w:rsid w:val="00702496"/>
    <w:rsid w:val="0070338C"/>
    <w:rsid w:val="0070508D"/>
    <w:rsid w:val="00705229"/>
    <w:rsid w:val="00706E40"/>
    <w:rsid w:val="00706E47"/>
    <w:rsid w:val="0071009C"/>
    <w:rsid w:val="00710CF1"/>
    <w:rsid w:val="007131C0"/>
    <w:rsid w:val="00713A84"/>
    <w:rsid w:val="00713FCC"/>
    <w:rsid w:val="007146D0"/>
    <w:rsid w:val="00714B53"/>
    <w:rsid w:val="00714D36"/>
    <w:rsid w:val="00715007"/>
    <w:rsid w:val="00716398"/>
    <w:rsid w:val="00716F6A"/>
    <w:rsid w:val="0072095A"/>
    <w:rsid w:val="0072309F"/>
    <w:rsid w:val="00723A2C"/>
    <w:rsid w:val="007243EB"/>
    <w:rsid w:val="007245F9"/>
    <w:rsid w:val="00725B83"/>
    <w:rsid w:val="00726466"/>
    <w:rsid w:val="007272AF"/>
    <w:rsid w:val="00735B2E"/>
    <w:rsid w:val="007369CD"/>
    <w:rsid w:val="00742A7F"/>
    <w:rsid w:val="00742BF3"/>
    <w:rsid w:val="007439EA"/>
    <w:rsid w:val="007449F7"/>
    <w:rsid w:val="00744A10"/>
    <w:rsid w:val="00746435"/>
    <w:rsid w:val="0074740E"/>
    <w:rsid w:val="0074799B"/>
    <w:rsid w:val="007511DB"/>
    <w:rsid w:val="00752534"/>
    <w:rsid w:val="007552F0"/>
    <w:rsid w:val="007568B6"/>
    <w:rsid w:val="007633E3"/>
    <w:rsid w:val="007635E1"/>
    <w:rsid w:val="00763AC4"/>
    <w:rsid w:val="0076573A"/>
    <w:rsid w:val="00766D2F"/>
    <w:rsid w:val="007708F1"/>
    <w:rsid w:val="00772037"/>
    <w:rsid w:val="007729A5"/>
    <w:rsid w:val="00772FBA"/>
    <w:rsid w:val="00773DAE"/>
    <w:rsid w:val="007749DD"/>
    <w:rsid w:val="00775405"/>
    <w:rsid w:val="00775969"/>
    <w:rsid w:val="007763B3"/>
    <w:rsid w:val="0077727E"/>
    <w:rsid w:val="00782CDE"/>
    <w:rsid w:val="00783589"/>
    <w:rsid w:val="00786D21"/>
    <w:rsid w:val="00787CF6"/>
    <w:rsid w:val="00791364"/>
    <w:rsid w:val="0079262C"/>
    <w:rsid w:val="007934F8"/>
    <w:rsid w:val="0079384D"/>
    <w:rsid w:val="00794B8F"/>
    <w:rsid w:val="00795470"/>
    <w:rsid w:val="00796AF0"/>
    <w:rsid w:val="00796D6E"/>
    <w:rsid w:val="007A059A"/>
    <w:rsid w:val="007A0911"/>
    <w:rsid w:val="007A0A97"/>
    <w:rsid w:val="007A0BDA"/>
    <w:rsid w:val="007A2791"/>
    <w:rsid w:val="007A64FC"/>
    <w:rsid w:val="007B015B"/>
    <w:rsid w:val="007B0857"/>
    <w:rsid w:val="007B20D5"/>
    <w:rsid w:val="007B2D5F"/>
    <w:rsid w:val="007B2F0F"/>
    <w:rsid w:val="007B3826"/>
    <w:rsid w:val="007B3F5B"/>
    <w:rsid w:val="007B4708"/>
    <w:rsid w:val="007B6C3D"/>
    <w:rsid w:val="007B72B7"/>
    <w:rsid w:val="007B7BF0"/>
    <w:rsid w:val="007C2776"/>
    <w:rsid w:val="007C293C"/>
    <w:rsid w:val="007C2C17"/>
    <w:rsid w:val="007C40A0"/>
    <w:rsid w:val="007C4AFE"/>
    <w:rsid w:val="007C57B0"/>
    <w:rsid w:val="007C59A6"/>
    <w:rsid w:val="007C5B69"/>
    <w:rsid w:val="007C61A3"/>
    <w:rsid w:val="007C643A"/>
    <w:rsid w:val="007C7A17"/>
    <w:rsid w:val="007D1E29"/>
    <w:rsid w:val="007D4E8D"/>
    <w:rsid w:val="007D5DB9"/>
    <w:rsid w:val="007D62E0"/>
    <w:rsid w:val="007D64ED"/>
    <w:rsid w:val="007D676B"/>
    <w:rsid w:val="007D746F"/>
    <w:rsid w:val="007D74D1"/>
    <w:rsid w:val="007E11B1"/>
    <w:rsid w:val="007E2C43"/>
    <w:rsid w:val="007E3AA7"/>
    <w:rsid w:val="007E5096"/>
    <w:rsid w:val="007E69EA"/>
    <w:rsid w:val="007E6D1E"/>
    <w:rsid w:val="007E7D27"/>
    <w:rsid w:val="007F0AD5"/>
    <w:rsid w:val="007F0F50"/>
    <w:rsid w:val="007F1287"/>
    <w:rsid w:val="007F1A1F"/>
    <w:rsid w:val="007F31FE"/>
    <w:rsid w:val="007F3BD0"/>
    <w:rsid w:val="007F5177"/>
    <w:rsid w:val="007F5AFB"/>
    <w:rsid w:val="007F6210"/>
    <w:rsid w:val="007F6669"/>
    <w:rsid w:val="007F7422"/>
    <w:rsid w:val="007F7D52"/>
    <w:rsid w:val="00801018"/>
    <w:rsid w:val="0080144D"/>
    <w:rsid w:val="00801969"/>
    <w:rsid w:val="008020DC"/>
    <w:rsid w:val="0080256F"/>
    <w:rsid w:val="0080286E"/>
    <w:rsid w:val="00803832"/>
    <w:rsid w:val="0080385B"/>
    <w:rsid w:val="0080441F"/>
    <w:rsid w:val="00805274"/>
    <w:rsid w:val="00806C66"/>
    <w:rsid w:val="00807124"/>
    <w:rsid w:val="00807181"/>
    <w:rsid w:val="00810831"/>
    <w:rsid w:val="00810F5E"/>
    <w:rsid w:val="00811B5B"/>
    <w:rsid w:val="00811B79"/>
    <w:rsid w:val="00812E7C"/>
    <w:rsid w:val="008138F9"/>
    <w:rsid w:val="00816211"/>
    <w:rsid w:val="00823923"/>
    <w:rsid w:val="00823FEB"/>
    <w:rsid w:val="00824872"/>
    <w:rsid w:val="0082558D"/>
    <w:rsid w:val="00825AA5"/>
    <w:rsid w:val="008339BC"/>
    <w:rsid w:val="00833C91"/>
    <w:rsid w:val="00834221"/>
    <w:rsid w:val="0083709D"/>
    <w:rsid w:val="00840440"/>
    <w:rsid w:val="00841A84"/>
    <w:rsid w:val="00841C3B"/>
    <w:rsid w:val="008459B7"/>
    <w:rsid w:val="00851EAF"/>
    <w:rsid w:val="00852C97"/>
    <w:rsid w:val="00854F2B"/>
    <w:rsid w:val="008565F4"/>
    <w:rsid w:val="008567C8"/>
    <w:rsid w:val="00857A96"/>
    <w:rsid w:val="00857C9D"/>
    <w:rsid w:val="008615EF"/>
    <w:rsid w:val="00861731"/>
    <w:rsid w:val="00862079"/>
    <w:rsid w:val="0086229B"/>
    <w:rsid w:val="0086333B"/>
    <w:rsid w:val="00864B68"/>
    <w:rsid w:val="008657A3"/>
    <w:rsid w:val="008664A3"/>
    <w:rsid w:val="0086651A"/>
    <w:rsid w:val="008678B1"/>
    <w:rsid w:val="00867CB7"/>
    <w:rsid w:val="00870536"/>
    <w:rsid w:val="008712CE"/>
    <w:rsid w:val="00872040"/>
    <w:rsid w:val="00872CA3"/>
    <w:rsid w:val="008741F5"/>
    <w:rsid w:val="0087645A"/>
    <w:rsid w:val="0088167C"/>
    <w:rsid w:val="00881B86"/>
    <w:rsid w:val="00882119"/>
    <w:rsid w:val="00882A5A"/>
    <w:rsid w:val="00882B3A"/>
    <w:rsid w:val="00882D17"/>
    <w:rsid w:val="0088437C"/>
    <w:rsid w:val="00884398"/>
    <w:rsid w:val="00885C90"/>
    <w:rsid w:val="008862AE"/>
    <w:rsid w:val="00886AA2"/>
    <w:rsid w:val="008879BD"/>
    <w:rsid w:val="0089026C"/>
    <w:rsid w:val="008925FD"/>
    <w:rsid w:val="0089315D"/>
    <w:rsid w:val="008937D1"/>
    <w:rsid w:val="0089484D"/>
    <w:rsid w:val="00894A0A"/>
    <w:rsid w:val="00894F33"/>
    <w:rsid w:val="008A1F0F"/>
    <w:rsid w:val="008A2076"/>
    <w:rsid w:val="008A504C"/>
    <w:rsid w:val="008A6787"/>
    <w:rsid w:val="008A7719"/>
    <w:rsid w:val="008A7AC7"/>
    <w:rsid w:val="008B0A6D"/>
    <w:rsid w:val="008B1057"/>
    <w:rsid w:val="008B1D34"/>
    <w:rsid w:val="008B22D6"/>
    <w:rsid w:val="008B3F94"/>
    <w:rsid w:val="008B4FAE"/>
    <w:rsid w:val="008B5980"/>
    <w:rsid w:val="008B64F3"/>
    <w:rsid w:val="008B70CB"/>
    <w:rsid w:val="008B7355"/>
    <w:rsid w:val="008C1455"/>
    <w:rsid w:val="008C1DC9"/>
    <w:rsid w:val="008C2175"/>
    <w:rsid w:val="008C2AA8"/>
    <w:rsid w:val="008C561D"/>
    <w:rsid w:val="008C6948"/>
    <w:rsid w:val="008C6A3D"/>
    <w:rsid w:val="008C7974"/>
    <w:rsid w:val="008C7E07"/>
    <w:rsid w:val="008D087F"/>
    <w:rsid w:val="008D1CDA"/>
    <w:rsid w:val="008D273E"/>
    <w:rsid w:val="008D4B41"/>
    <w:rsid w:val="008D6061"/>
    <w:rsid w:val="008D6804"/>
    <w:rsid w:val="008D720F"/>
    <w:rsid w:val="008D7900"/>
    <w:rsid w:val="008E099A"/>
    <w:rsid w:val="008E10E5"/>
    <w:rsid w:val="008E169E"/>
    <w:rsid w:val="008E31BB"/>
    <w:rsid w:val="008E57B2"/>
    <w:rsid w:val="008E5B4D"/>
    <w:rsid w:val="008E5E26"/>
    <w:rsid w:val="008E6610"/>
    <w:rsid w:val="008F076A"/>
    <w:rsid w:val="008F17BA"/>
    <w:rsid w:val="008F2A7A"/>
    <w:rsid w:val="008F343B"/>
    <w:rsid w:val="008F4D19"/>
    <w:rsid w:val="008F5861"/>
    <w:rsid w:val="008F5F3E"/>
    <w:rsid w:val="008F778C"/>
    <w:rsid w:val="008F7F6C"/>
    <w:rsid w:val="009012AE"/>
    <w:rsid w:val="00902702"/>
    <w:rsid w:val="00902DC7"/>
    <w:rsid w:val="00906083"/>
    <w:rsid w:val="0090666C"/>
    <w:rsid w:val="00911D1B"/>
    <w:rsid w:val="00912A3F"/>
    <w:rsid w:val="00912A4E"/>
    <w:rsid w:val="00912A91"/>
    <w:rsid w:val="00912D6D"/>
    <w:rsid w:val="00912DC9"/>
    <w:rsid w:val="009143C3"/>
    <w:rsid w:val="00914692"/>
    <w:rsid w:val="00914993"/>
    <w:rsid w:val="00915293"/>
    <w:rsid w:val="00916264"/>
    <w:rsid w:val="00917732"/>
    <w:rsid w:val="0092304D"/>
    <w:rsid w:val="00923C43"/>
    <w:rsid w:val="00926D6D"/>
    <w:rsid w:val="0092724A"/>
    <w:rsid w:val="009278EB"/>
    <w:rsid w:val="00927B0B"/>
    <w:rsid w:val="00933D6E"/>
    <w:rsid w:val="00934DB5"/>
    <w:rsid w:val="00935114"/>
    <w:rsid w:val="009373F4"/>
    <w:rsid w:val="00937AE8"/>
    <w:rsid w:val="009416B8"/>
    <w:rsid w:val="00942F68"/>
    <w:rsid w:val="00943115"/>
    <w:rsid w:val="00943135"/>
    <w:rsid w:val="00943A30"/>
    <w:rsid w:val="009447A6"/>
    <w:rsid w:val="00944D22"/>
    <w:rsid w:val="00945965"/>
    <w:rsid w:val="00945970"/>
    <w:rsid w:val="00947565"/>
    <w:rsid w:val="0095356E"/>
    <w:rsid w:val="009549D3"/>
    <w:rsid w:val="00955C5B"/>
    <w:rsid w:val="009572E5"/>
    <w:rsid w:val="00957CFE"/>
    <w:rsid w:val="00957FCC"/>
    <w:rsid w:val="00960D34"/>
    <w:rsid w:val="00960E9A"/>
    <w:rsid w:val="00960FCC"/>
    <w:rsid w:val="0096103D"/>
    <w:rsid w:val="00961DE8"/>
    <w:rsid w:val="00965229"/>
    <w:rsid w:val="00966027"/>
    <w:rsid w:val="00966892"/>
    <w:rsid w:val="00966BDC"/>
    <w:rsid w:val="00966CE8"/>
    <w:rsid w:val="00967D99"/>
    <w:rsid w:val="00970051"/>
    <w:rsid w:val="0097118E"/>
    <w:rsid w:val="009711EF"/>
    <w:rsid w:val="009714AE"/>
    <w:rsid w:val="00971515"/>
    <w:rsid w:val="009736AA"/>
    <w:rsid w:val="00974AB6"/>
    <w:rsid w:val="00974DFD"/>
    <w:rsid w:val="00976236"/>
    <w:rsid w:val="00976D63"/>
    <w:rsid w:val="00977675"/>
    <w:rsid w:val="009777AA"/>
    <w:rsid w:val="00977F0F"/>
    <w:rsid w:val="00982171"/>
    <w:rsid w:val="00983E7E"/>
    <w:rsid w:val="00986689"/>
    <w:rsid w:val="009913A3"/>
    <w:rsid w:val="00994043"/>
    <w:rsid w:val="00994CB3"/>
    <w:rsid w:val="009951C9"/>
    <w:rsid w:val="009A118D"/>
    <w:rsid w:val="009A3DEB"/>
    <w:rsid w:val="009A4A3B"/>
    <w:rsid w:val="009A545A"/>
    <w:rsid w:val="009A593A"/>
    <w:rsid w:val="009A599C"/>
    <w:rsid w:val="009A5DA8"/>
    <w:rsid w:val="009A6254"/>
    <w:rsid w:val="009A75DF"/>
    <w:rsid w:val="009B049C"/>
    <w:rsid w:val="009B1BB8"/>
    <w:rsid w:val="009B382F"/>
    <w:rsid w:val="009B52AE"/>
    <w:rsid w:val="009B53A4"/>
    <w:rsid w:val="009B6A6A"/>
    <w:rsid w:val="009C04D7"/>
    <w:rsid w:val="009C1F1D"/>
    <w:rsid w:val="009C2E66"/>
    <w:rsid w:val="009C3525"/>
    <w:rsid w:val="009C410A"/>
    <w:rsid w:val="009C424A"/>
    <w:rsid w:val="009C4B3D"/>
    <w:rsid w:val="009C6676"/>
    <w:rsid w:val="009C7F47"/>
    <w:rsid w:val="009D0187"/>
    <w:rsid w:val="009D16DC"/>
    <w:rsid w:val="009D198D"/>
    <w:rsid w:val="009D221A"/>
    <w:rsid w:val="009D2927"/>
    <w:rsid w:val="009D2A35"/>
    <w:rsid w:val="009D2E24"/>
    <w:rsid w:val="009D363D"/>
    <w:rsid w:val="009D3FA0"/>
    <w:rsid w:val="009D4250"/>
    <w:rsid w:val="009D7536"/>
    <w:rsid w:val="009D7D2C"/>
    <w:rsid w:val="009D7E80"/>
    <w:rsid w:val="009E0FE5"/>
    <w:rsid w:val="009E1259"/>
    <w:rsid w:val="009E15C9"/>
    <w:rsid w:val="009E19CE"/>
    <w:rsid w:val="009E2DB4"/>
    <w:rsid w:val="009E4099"/>
    <w:rsid w:val="009E4BAF"/>
    <w:rsid w:val="009E5864"/>
    <w:rsid w:val="009F10D1"/>
    <w:rsid w:val="009F151A"/>
    <w:rsid w:val="009F24E8"/>
    <w:rsid w:val="009F42BF"/>
    <w:rsid w:val="009F5A4A"/>
    <w:rsid w:val="009F5FA1"/>
    <w:rsid w:val="009F66FC"/>
    <w:rsid w:val="009F76F4"/>
    <w:rsid w:val="009F7C5A"/>
    <w:rsid w:val="00A004A5"/>
    <w:rsid w:val="00A017B3"/>
    <w:rsid w:val="00A02224"/>
    <w:rsid w:val="00A025DB"/>
    <w:rsid w:val="00A0308C"/>
    <w:rsid w:val="00A05BB0"/>
    <w:rsid w:val="00A06114"/>
    <w:rsid w:val="00A064EB"/>
    <w:rsid w:val="00A06677"/>
    <w:rsid w:val="00A0798A"/>
    <w:rsid w:val="00A112DB"/>
    <w:rsid w:val="00A13A4C"/>
    <w:rsid w:val="00A141E6"/>
    <w:rsid w:val="00A14869"/>
    <w:rsid w:val="00A14ABB"/>
    <w:rsid w:val="00A17F76"/>
    <w:rsid w:val="00A200E1"/>
    <w:rsid w:val="00A208CA"/>
    <w:rsid w:val="00A21B4E"/>
    <w:rsid w:val="00A22030"/>
    <w:rsid w:val="00A23517"/>
    <w:rsid w:val="00A2356C"/>
    <w:rsid w:val="00A24312"/>
    <w:rsid w:val="00A269AB"/>
    <w:rsid w:val="00A27BF8"/>
    <w:rsid w:val="00A300E7"/>
    <w:rsid w:val="00A32050"/>
    <w:rsid w:val="00A3250C"/>
    <w:rsid w:val="00A32966"/>
    <w:rsid w:val="00A33A4B"/>
    <w:rsid w:val="00A34ADE"/>
    <w:rsid w:val="00A363CB"/>
    <w:rsid w:val="00A42E53"/>
    <w:rsid w:val="00A43EAB"/>
    <w:rsid w:val="00A44372"/>
    <w:rsid w:val="00A468A8"/>
    <w:rsid w:val="00A47A17"/>
    <w:rsid w:val="00A47ACC"/>
    <w:rsid w:val="00A50A9E"/>
    <w:rsid w:val="00A516DF"/>
    <w:rsid w:val="00A52962"/>
    <w:rsid w:val="00A53422"/>
    <w:rsid w:val="00A53614"/>
    <w:rsid w:val="00A54A78"/>
    <w:rsid w:val="00A54F48"/>
    <w:rsid w:val="00A5558A"/>
    <w:rsid w:val="00A562B8"/>
    <w:rsid w:val="00A57F43"/>
    <w:rsid w:val="00A61A08"/>
    <w:rsid w:val="00A61E5A"/>
    <w:rsid w:val="00A62B37"/>
    <w:rsid w:val="00A630C4"/>
    <w:rsid w:val="00A63418"/>
    <w:rsid w:val="00A664A8"/>
    <w:rsid w:val="00A6734E"/>
    <w:rsid w:val="00A67B26"/>
    <w:rsid w:val="00A71EEC"/>
    <w:rsid w:val="00A7268F"/>
    <w:rsid w:val="00A72A5B"/>
    <w:rsid w:val="00A72C33"/>
    <w:rsid w:val="00A730D0"/>
    <w:rsid w:val="00A73C16"/>
    <w:rsid w:val="00A74685"/>
    <w:rsid w:val="00A74C77"/>
    <w:rsid w:val="00A75902"/>
    <w:rsid w:val="00A762D3"/>
    <w:rsid w:val="00A76931"/>
    <w:rsid w:val="00A80205"/>
    <w:rsid w:val="00A810E4"/>
    <w:rsid w:val="00A81249"/>
    <w:rsid w:val="00A8184D"/>
    <w:rsid w:val="00A826B1"/>
    <w:rsid w:val="00A860EF"/>
    <w:rsid w:val="00A864B2"/>
    <w:rsid w:val="00A87C8B"/>
    <w:rsid w:val="00A87F4F"/>
    <w:rsid w:val="00A92105"/>
    <w:rsid w:val="00A92F07"/>
    <w:rsid w:val="00A94EDF"/>
    <w:rsid w:val="00A9536C"/>
    <w:rsid w:val="00A960C2"/>
    <w:rsid w:val="00A9634D"/>
    <w:rsid w:val="00A96B33"/>
    <w:rsid w:val="00A974E7"/>
    <w:rsid w:val="00A977AA"/>
    <w:rsid w:val="00AA332F"/>
    <w:rsid w:val="00AA6194"/>
    <w:rsid w:val="00AA6622"/>
    <w:rsid w:val="00AA7B59"/>
    <w:rsid w:val="00AB1207"/>
    <w:rsid w:val="00AB1C4C"/>
    <w:rsid w:val="00AB24D2"/>
    <w:rsid w:val="00AB46B3"/>
    <w:rsid w:val="00AB4D20"/>
    <w:rsid w:val="00AB5E97"/>
    <w:rsid w:val="00AB6375"/>
    <w:rsid w:val="00AB66EF"/>
    <w:rsid w:val="00AB6814"/>
    <w:rsid w:val="00AC027C"/>
    <w:rsid w:val="00AC2257"/>
    <w:rsid w:val="00AC34BF"/>
    <w:rsid w:val="00AC3944"/>
    <w:rsid w:val="00AC3C36"/>
    <w:rsid w:val="00AC4644"/>
    <w:rsid w:val="00AC4BF6"/>
    <w:rsid w:val="00AC64C8"/>
    <w:rsid w:val="00AC6507"/>
    <w:rsid w:val="00AC67D3"/>
    <w:rsid w:val="00AC7A14"/>
    <w:rsid w:val="00AD2BC1"/>
    <w:rsid w:val="00AD2FE3"/>
    <w:rsid w:val="00AD577C"/>
    <w:rsid w:val="00AD5E9D"/>
    <w:rsid w:val="00AD7264"/>
    <w:rsid w:val="00AE00F2"/>
    <w:rsid w:val="00AE201C"/>
    <w:rsid w:val="00AE31A8"/>
    <w:rsid w:val="00AE39A5"/>
    <w:rsid w:val="00AE4395"/>
    <w:rsid w:val="00AE635E"/>
    <w:rsid w:val="00AE72B5"/>
    <w:rsid w:val="00AF1286"/>
    <w:rsid w:val="00AF563C"/>
    <w:rsid w:val="00AF617B"/>
    <w:rsid w:val="00AF7C19"/>
    <w:rsid w:val="00B01DDE"/>
    <w:rsid w:val="00B029FB"/>
    <w:rsid w:val="00B03260"/>
    <w:rsid w:val="00B038C4"/>
    <w:rsid w:val="00B0518F"/>
    <w:rsid w:val="00B05B11"/>
    <w:rsid w:val="00B05F32"/>
    <w:rsid w:val="00B06589"/>
    <w:rsid w:val="00B07C99"/>
    <w:rsid w:val="00B07D63"/>
    <w:rsid w:val="00B07E94"/>
    <w:rsid w:val="00B1253A"/>
    <w:rsid w:val="00B12866"/>
    <w:rsid w:val="00B13688"/>
    <w:rsid w:val="00B179E9"/>
    <w:rsid w:val="00B17F67"/>
    <w:rsid w:val="00B21369"/>
    <w:rsid w:val="00B21FCA"/>
    <w:rsid w:val="00B22338"/>
    <w:rsid w:val="00B235AD"/>
    <w:rsid w:val="00B23915"/>
    <w:rsid w:val="00B24940"/>
    <w:rsid w:val="00B25580"/>
    <w:rsid w:val="00B276EE"/>
    <w:rsid w:val="00B31290"/>
    <w:rsid w:val="00B32565"/>
    <w:rsid w:val="00B338E9"/>
    <w:rsid w:val="00B347FC"/>
    <w:rsid w:val="00B3497E"/>
    <w:rsid w:val="00B34AEA"/>
    <w:rsid w:val="00B3587B"/>
    <w:rsid w:val="00B3649F"/>
    <w:rsid w:val="00B365B8"/>
    <w:rsid w:val="00B367A3"/>
    <w:rsid w:val="00B36A02"/>
    <w:rsid w:val="00B37B30"/>
    <w:rsid w:val="00B42C98"/>
    <w:rsid w:val="00B463C7"/>
    <w:rsid w:val="00B4743E"/>
    <w:rsid w:val="00B47441"/>
    <w:rsid w:val="00B508F4"/>
    <w:rsid w:val="00B50E1A"/>
    <w:rsid w:val="00B535EE"/>
    <w:rsid w:val="00B5404F"/>
    <w:rsid w:val="00B549CD"/>
    <w:rsid w:val="00B55063"/>
    <w:rsid w:val="00B567A9"/>
    <w:rsid w:val="00B56A9A"/>
    <w:rsid w:val="00B56E09"/>
    <w:rsid w:val="00B60CE3"/>
    <w:rsid w:val="00B60E1F"/>
    <w:rsid w:val="00B64F9D"/>
    <w:rsid w:val="00B66323"/>
    <w:rsid w:val="00B6701A"/>
    <w:rsid w:val="00B67AEF"/>
    <w:rsid w:val="00B71ECA"/>
    <w:rsid w:val="00B73293"/>
    <w:rsid w:val="00B73333"/>
    <w:rsid w:val="00B73836"/>
    <w:rsid w:val="00B74B1C"/>
    <w:rsid w:val="00B75AEC"/>
    <w:rsid w:val="00B77F4C"/>
    <w:rsid w:val="00B80B28"/>
    <w:rsid w:val="00B8263F"/>
    <w:rsid w:val="00B845AD"/>
    <w:rsid w:val="00B852F7"/>
    <w:rsid w:val="00B85AC8"/>
    <w:rsid w:val="00B85F2F"/>
    <w:rsid w:val="00B86830"/>
    <w:rsid w:val="00B871B3"/>
    <w:rsid w:val="00B874FF"/>
    <w:rsid w:val="00B9220B"/>
    <w:rsid w:val="00B93A39"/>
    <w:rsid w:val="00B96078"/>
    <w:rsid w:val="00BA0395"/>
    <w:rsid w:val="00BA065F"/>
    <w:rsid w:val="00BA1094"/>
    <w:rsid w:val="00BA286A"/>
    <w:rsid w:val="00BA45FF"/>
    <w:rsid w:val="00BA5DDA"/>
    <w:rsid w:val="00BA768E"/>
    <w:rsid w:val="00BA771A"/>
    <w:rsid w:val="00BA7D06"/>
    <w:rsid w:val="00BB17C2"/>
    <w:rsid w:val="00BB2DE8"/>
    <w:rsid w:val="00BB34DC"/>
    <w:rsid w:val="00BB3718"/>
    <w:rsid w:val="00BB5D99"/>
    <w:rsid w:val="00BB7218"/>
    <w:rsid w:val="00BC49F9"/>
    <w:rsid w:val="00BC5FE3"/>
    <w:rsid w:val="00BC7FBA"/>
    <w:rsid w:val="00BD0930"/>
    <w:rsid w:val="00BD1EE0"/>
    <w:rsid w:val="00BD3629"/>
    <w:rsid w:val="00BD4252"/>
    <w:rsid w:val="00BD4A80"/>
    <w:rsid w:val="00BE037B"/>
    <w:rsid w:val="00BE2309"/>
    <w:rsid w:val="00BE4AE3"/>
    <w:rsid w:val="00BE60A3"/>
    <w:rsid w:val="00BE718C"/>
    <w:rsid w:val="00BF06FE"/>
    <w:rsid w:val="00BF0CDE"/>
    <w:rsid w:val="00BF0DCD"/>
    <w:rsid w:val="00BF2FF1"/>
    <w:rsid w:val="00BF3BD2"/>
    <w:rsid w:val="00BF5300"/>
    <w:rsid w:val="00BF5698"/>
    <w:rsid w:val="00BF710D"/>
    <w:rsid w:val="00BF7184"/>
    <w:rsid w:val="00C00C15"/>
    <w:rsid w:val="00C00F62"/>
    <w:rsid w:val="00C02AC0"/>
    <w:rsid w:val="00C02F05"/>
    <w:rsid w:val="00C03288"/>
    <w:rsid w:val="00C0401C"/>
    <w:rsid w:val="00C044E9"/>
    <w:rsid w:val="00C05524"/>
    <w:rsid w:val="00C05D92"/>
    <w:rsid w:val="00C05EE1"/>
    <w:rsid w:val="00C06284"/>
    <w:rsid w:val="00C06EB8"/>
    <w:rsid w:val="00C074DD"/>
    <w:rsid w:val="00C1173D"/>
    <w:rsid w:val="00C11F29"/>
    <w:rsid w:val="00C11FC5"/>
    <w:rsid w:val="00C13C5E"/>
    <w:rsid w:val="00C13D2D"/>
    <w:rsid w:val="00C1475F"/>
    <w:rsid w:val="00C1636A"/>
    <w:rsid w:val="00C163A1"/>
    <w:rsid w:val="00C16DF5"/>
    <w:rsid w:val="00C16EA6"/>
    <w:rsid w:val="00C23DAF"/>
    <w:rsid w:val="00C24413"/>
    <w:rsid w:val="00C255E4"/>
    <w:rsid w:val="00C2795F"/>
    <w:rsid w:val="00C27B89"/>
    <w:rsid w:val="00C301A8"/>
    <w:rsid w:val="00C3222C"/>
    <w:rsid w:val="00C329B6"/>
    <w:rsid w:val="00C3323A"/>
    <w:rsid w:val="00C335A6"/>
    <w:rsid w:val="00C3463D"/>
    <w:rsid w:val="00C36587"/>
    <w:rsid w:val="00C3739D"/>
    <w:rsid w:val="00C374DB"/>
    <w:rsid w:val="00C4138A"/>
    <w:rsid w:val="00C420D3"/>
    <w:rsid w:val="00C4266D"/>
    <w:rsid w:val="00C43423"/>
    <w:rsid w:val="00C43805"/>
    <w:rsid w:val="00C44ED1"/>
    <w:rsid w:val="00C467C3"/>
    <w:rsid w:val="00C473DD"/>
    <w:rsid w:val="00C47CAD"/>
    <w:rsid w:val="00C50EFC"/>
    <w:rsid w:val="00C511D0"/>
    <w:rsid w:val="00C52B28"/>
    <w:rsid w:val="00C53666"/>
    <w:rsid w:val="00C53992"/>
    <w:rsid w:val="00C5537E"/>
    <w:rsid w:val="00C5559B"/>
    <w:rsid w:val="00C55883"/>
    <w:rsid w:val="00C56446"/>
    <w:rsid w:val="00C572FD"/>
    <w:rsid w:val="00C577D2"/>
    <w:rsid w:val="00C60739"/>
    <w:rsid w:val="00C6273E"/>
    <w:rsid w:val="00C62BA6"/>
    <w:rsid w:val="00C64BC2"/>
    <w:rsid w:val="00C65183"/>
    <w:rsid w:val="00C6561D"/>
    <w:rsid w:val="00C65707"/>
    <w:rsid w:val="00C65787"/>
    <w:rsid w:val="00C65856"/>
    <w:rsid w:val="00C65CCE"/>
    <w:rsid w:val="00C66318"/>
    <w:rsid w:val="00C66615"/>
    <w:rsid w:val="00C66B07"/>
    <w:rsid w:val="00C710DC"/>
    <w:rsid w:val="00C72B9D"/>
    <w:rsid w:val="00C74BF1"/>
    <w:rsid w:val="00C7553C"/>
    <w:rsid w:val="00C771FB"/>
    <w:rsid w:val="00C77D26"/>
    <w:rsid w:val="00C8010E"/>
    <w:rsid w:val="00C81AA8"/>
    <w:rsid w:val="00C827C1"/>
    <w:rsid w:val="00C82F37"/>
    <w:rsid w:val="00C83474"/>
    <w:rsid w:val="00C8397E"/>
    <w:rsid w:val="00C83A09"/>
    <w:rsid w:val="00C83F36"/>
    <w:rsid w:val="00C845BF"/>
    <w:rsid w:val="00C849A3"/>
    <w:rsid w:val="00C858B0"/>
    <w:rsid w:val="00C87A70"/>
    <w:rsid w:val="00C90796"/>
    <w:rsid w:val="00C91C67"/>
    <w:rsid w:val="00C96922"/>
    <w:rsid w:val="00CA0408"/>
    <w:rsid w:val="00CA07DC"/>
    <w:rsid w:val="00CA236A"/>
    <w:rsid w:val="00CA4C35"/>
    <w:rsid w:val="00CA58CF"/>
    <w:rsid w:val="00CA596C"/>
    <w:rsid w:val="00CA66CA"/>
    <w:rsid w:val="00CA6D8D"/>
    <w:rsid w:val="00CB1470"/>
    <w:rsid w:val="00CB1AF0"/>
    <w:rsid w:val="00CB266C"/>
    <w:rsid w:val="00CB3AC1"/>
    <w:rsid w:val="00CB5232"/>
    <w:rsid w:val="00CB74F2"/>
    <w:rsid w:val="00CC0C63"/>
    <w:rsid w:val="00CC0EEA"/>
    <w:rsid w:val="00CC194E"/>
    <w:rsid w:val="00CC1E08"/>
    <w:rsid w:val="00CC20BA"/>
    <w:rsid w:val="00CC506C"/>
    <w:rsid w:val="00CD06A9"/>
    <w:rsid w:val="00CD5F6F"/>
    <w:rsid w:val="00CE054D"/>
    <w:rsid w:val="00CE2BFC"/>
    <w:rsid w:val="00CE4554"/>
    <w:rsid w:val="00CE466A"/>
    <w:rsid w:val="00CE487C"/>
    <w:rsid w:val="00CE5717"/>
    <w:rsid w:val="00CE5E61"/>
    <w:rsid w:val="00CF0300"/>
    <w:rsid w:val="00CF0595"/>
    <w:rsid w:val="00CF12C2"/>
    <w:rsid w:val="00CF19D2"/>
    <w:rsid w:val="00CF2BA5"/>
    <w:rsid w:val="00CF511F"/>
    <w:rsid w:val="00CF72B4"/>
    <w:rsid w:val="00D008C5"/>
    <w:rsid w:val="00D00D04"/>
    <w:rsid w:val="00D01321"/>
    <w:rsid w:val="00D01403"/>
    <w:rsid w:val="00D04993"/>
    <w:rsid w:val="00D04B40"/>
    <w:rsid w:val="00D04DF2"/>
    <w:rsid w:val="00D0517E"/>
    <w:rsid w:val="00D0536F"/>
    <w:rsid w:val="00D0627A"/>
    <w:rsid w:val="00D06372"/>
    <w:rsid w:val="00D06623"/>
    <w:rsid w:val="00D07505"/>
    <w:rsid w:val="00D1016F"/>
    <w:rsid w:val="00D1451D"/>
    <w:rsid w:val="00D14E31"/>
    <w:rsid w:val="00D14F85"/>
    <w:rsid w:val="00D1559D"/>
    <w:rsid w:val="00D15621"/>
    <w:rsid w:val="00D17D76"/>
    <w:rsid w:val="00D17DE0"/>
    <w:rsid w:val="00D22D60"/>
    <w:rsid w:val="00D2393B"/>
    <w:rsid w:val="00D25135"/>
    <w:rsid w:val="00D25271"/>
    <w:rsid w:val="00D2588D"/>
    <w:rsid w:val="00D2649D"/>
    <w:rsid w:val="00D269E8"/>
    <w:rsid w:val="00D2769F"/>
    <w:rsid w:val="00D27B5E"/>
    <w:rsid w:val="00D30074"/>
    <w:rsid w:val="00D30FEC"/>
    <w:rsid w:val="00D32B7A"/>
    <w:rsid w:val="00D33224"/>
    <w:rsid w:val="00D33318"/>
    <w:rsid w:val="00D33C23"/>
    <w:rsid w:val="00D341E1"/>
    <w:rsid w:val="00D34E2A"/>
    <w:rsid w:val="00D363B9"/>
    <w:rsid w:val="00D3690B"/>
    <w:rsid w:val="00D36D93"/>
    <w:rsid w:val="00D371D1"/>
    <w:rsid w:val="00D379DD"/>
    <w:rsid w:val="00D4035B"/>
    <w:rsid w:val="00D4063C"/>
    <w:rsid w:val="00D413A5"/>
    <w:rsid w:val="00D43097"/>
    <w:rsid w:val="00D45365"/>
    <w:rsid w:val="00D45EF5"/>
    <w:rsid w:val="00D4660D"/>
    <w:rsid w:val="00D4675B"/>
    <w:rsid w:val="00D46B1B"/>
    <w:rsid w:val="00D47C52"/>
    <w:rsid w:val="00D528CE"/>
    <w:rsid w:val="00D52DBF"/>
    <w:rsid w:val="00D5310B"/>
    <w:rsid w:val="00D5350F"/>
    <w:rsid w:val="00D53554"/>
    <w:rsid w:val="00D538A7"/>
    <w:rsid w:val="00D53F8A"/>
    <w:rsid w:val="00D5657B"/>
    <w:rsid w:val="00D5678F"/>
    <w:rsid w:val="00D57A96"/>
    <w:rsid w:val="00D60F30"/>
    <w:rsid w:val="00D61699"/>
    <w:rsid w:val="00D616E3"/>
    <w:rsid w:val="00D61C07"/>
    <w:rsid w:val="00D61D75"/>
    <w:rsid w:val="00D622AA"/>
    <w:rsid w:val="00D622B6"/>
    <w:rsid w:val="00D62C2A"/>
    <w:rsid w:val="00D637DA"/>
    <w:rsid w:val="00D6503B"/>
    <w:rsid w:val="00D727CA"/>
    <w:rsid w:val="00D736DB"/>
    <w:rsid w:val="00D74A34"/>
    <w:rsid w:val="00D74DC2"/>
    <w:rsid w:val="00D75337"/>
    <w:rsid w:val="00D766C0"/>
    <w:rsid w:val="00D76874"/>
    <w:rsid w:val="00D7697D"/>
    <w:rsid w:val="00D7765E"/>
    <w:rsid w:val="00D82AF6"/>
    <w:rsid w:val="00D85971"/>
    <w:rsid w:val="00D902BB"/>
    <w:rsid w:val="00D9030F"/>
    <w:rsid w:val="00D91E68"/>
    <w:rsid w:val="00D92642"/>
    <w:rsid w:val="00D92E1D"/>
    <w:rsid w:val="00D934DC"/>
    <w:rsid w:val="00D93542"/>
    <w:rsid w:val="00D93E9C"/>
    <w:rsid w:val="00D93EDA"/>
    <w:rsid w:val="00D95BC8"/>
    <w:rsid w:val="00D96516"/>
    <w:rsid w:val="00D96C8A"/>
    <w:rsid w:val="00D96F8F"/>
    <w:rsid w:val="00DA05F0"/>
    <w:rsid w:val="00DA1AAE"/>
    <w:rsid w:val="00DA1C08"/>
    <w:rsid w:val="00DA28F4"/>
    <w:rsid w:val="00DA378F"/>
    <w:rsid w:val="00DA37C2"/>
    <w:rsid w:val="00DA5029"/>
    <w:rsid w:val="00DA5FC9"/>
    <w:rsid w:val="00DA6FB9"/>
    <w:rsid w:val="00DA798D"/>
    <w:rsid w:val="00DB12AB"/>
    <w:rsid w:val="00DB1C9C"/>
    <w:rsid w:val="00DB339A"/>
    <w:rsid w:val="00DB3610"/>
    <w:rsid w:val="00DB4738"/>
    <w:rsid w:val="00DB4F3D"/>
    <w:rsid w:val="00DB510B"/>
    <w:rsid w:val="00DB5864"/>
    <w:rsid w:val="00DB5E97"/>
    <w:rsid w:val="00DB6B46"/>
    <w:rsid w:val="00DB7B6F"/>
    <w:rsid w:val="00DC0040"/>
    <w:rsid w:val="00DC0118"/>
    <w:rsid w:val="00DC0754"/>
    <w:rsid w:val="00DC0BCD"/>
    <w:rsid w:val="00DC2075"/>
    <w:rsid w:val="00DC20B2"/>
    <w:rsid w:val="00DC24D4"/>
    <w:rsid w:val="00DC2D07"/>
    <w:rsid w:val="00DC42AB"/>
    <w:rsid w:val="00DC51EF"/>
    <w:rsid w:val="00DC6150"/>
    <w:rsid w:val="00DC7A3E"/>
    <w:rsid w:val="00DD3999"/>
    <w:rsid w:val="00DD3AE8"/>
    <w:rsid w:val="00DD4729"/>
    <w:rsid w:val="00DD4AA7"/>
    <w:rsid w:val="00DD5961"/>
    <w:rsid w:val="00DD5F2D"/>
    <w:rsid w:val="00DD68C6"/>
    <w:rsid w:val="00DD6F92"/>
    <w:rsid w:val="00DD7994"/>
    <w:rsid w:val="00DE15A5"/>
    <w:rsid w:val="00DE1A03"/>
    <w:rsid w:val="00DE1CE6"/>
    <w:rsid w:val="00DE3307"/>
    <w:rsid w:val="00DE35FF"/>
    <w:rsid w:val="00DE4610"/>
    <w:rsid w:val="00DE48E2"/>
    <w:rsid w:val="00DF06CC"/>
    <w:rsid w:val="00DF221C"/>
    <w:rsid w:val="00DF2EE3"/>
    <w:rsid w:val="00DF3002"/>
    <w:rsid w:val="00DF4A7A"/>
    <w:rsid w:val="00DF641C"/>
    <w:rsid w:val="00DF7626"/>
    <w:rsid w:val="00E01234"/>
    <w:rsid w:val="00E0151D"/>
    <w:rsid w:val="00E04902"/>
    <w:rsid w:val="00E06A66"/>
    <w:rsid w:val="00E13F98"/>
    <w:rsid w:val="00E15335"/>
    <w:rsid w:val="00E159D6"/>
    <w:rsid w:val="00E212CC"/>
    <w:rsid w:val="00E22D3E"/>
    <w:rsid w:val="00E23DAF"/>
    <w:rsid w:val="00E246F7"/>
    <w:rsid w:val="00E250DB"/>
    <w:rsid w:val="00E25A2E"/>
    <w:rsid w:val="00E3080B"/>
    <w:rsid w:val="00E317C0"/>
    <w:rsid w:val="00E33C87"/>
    <w:rsid w:val="00E34302"/>
    <w:rsid w:val="00E34683"/>
    <w:rsid w:val="00E369ED"/>
    <w:rsid w:val="00E3779B"/>
    <w:rsid w:val="00E4055C"/>
    <w:rsid w:val="00E4064C"/>
    <w:rsid w:val="00E416B3"/>
    <w:rsid w:val="00E419B0"/>
    <w:rsid w:val="00E41AC3"/>
    <w:rsid w:val="00E42B6D"/>
    <w:rsid w:val="00E42C97"/>
    <w:rsid w:val="00E435CE"/>
    <w:rsid w:val="00E46680"/>
    <w:rsid w:val="00E47752"/>
    <w:rsid w:val="00E51E20"/>
    <w:rsid w:val="00E52026"/>
    <w:rsid w:val="00E53005"/>
    <w:rsid w:val="00E55DEC"/>
    <w:rsid w:val="00E56B3C"/>
    <w:rsid w:val="00E5783A"/>
    <w:rsid w:val="00E57BE0"/>
    <w:rsid w:val="00E57DA3"/>
    <w:rsid w:val="00E60380"/>
    <w:rsid w:val="00E609A8"/>
    <w:rsid w:val="00E611B7"/>
    <w:rsid w:val="00E61C20"/>
    <w:rsid w:val="00E6251E"/>
    <w:rsid w:val="00E62C4E"/>
    <w:rsid w:val="00E6457C"/>
    <w:rsid w:val="00E66EC3"/>
    <w:rsid w:val="00E675C0"/>
    <w:rsid w:val="00E67BC8"/>
    <w:rsid w:val="00E72D9F"/>
    <w:rsid w:val="00E7364F"/>
    <w:rsid w:val="00E75E01"/>
    <w:rsid w:val="00E77043"/>
    <w:rsid w:val="00E82208"/>
    <w:rsid w:val="00E82B29"/>
    <w:rsid w:val="00E8368C"/>
    <w:rsid w:val="00E843CA"/>
    <w:rsid w:val="00E844C5"/>
    <w:rsid w:val="00E864A3"/>
    <w:rsid w:val="00E86F02"/>
    <w:rsid w:val="00E92625"/>
    <w:rsid w:val="00E95C6A"/>
    <w:rsid w:val="00E9737A"/>
    <w:rsid w:val="00E97C01"/>
    <w:rsid w:val="00EA08C1"/>
    <w:rsid w:val="00EA188F"/>
    <w:rsid w:val="00EA1CFC"/>
    <w:rsid w:val="00EA1FF0"/>
    <w:rsid w:val="00EA22C3"/>
    <w:rsid w:val="00EA5159"/>
    <w:rsid w:val="00EA55C3"/>
    <w:rsid w:val="00EA5BB5"/>
    <w:rsid w:val="00EB0365"/>
    <w:rsid w:val="00EB0E1B"/>
    <w:rsid w:val="00EB18E0"/>
    <w:rsid w:val="00EB199B"/>
    <w:rsid w:val="00EB209D"/>
    <w:rsid w:val="00EB2D0F"/>
    <w:rsid w:val="00EB32A5"/>
    <w:rsid w:val="00EB399A"/>
    <w:rsid w:val="00EB46BA"/>
    <w:rsid w:val="00EB5586"/>
    <w:rsid w:val="00EB6C45"/>
    <w:rsid w:val="00EC0660"/>
    <w:rsid w:val="00EC15B4"/>
    <w:rsid w:val="00EC166D"/>
    <w:rsid w:val="00EC17D5"/>
    <w:rsid w:val="00EC1847"/>
    <w:rsid w:val="00EC23D9"/>
    <w:rsid w:val="00EC245E"/>
    <w:rsid w:val="00EC2FF5"/>
    <w:rsid w:val="00EC3750"/>
    <w:rsid w:val="00EC3876"/>
    <w:rsid w:val="00EC39AE"/>
    <w:rsid w:val="00EC474B"/>
    <w:rsid w:val="00EC4861"/>
    <w:rsid w:val="00EC4906"/>
    <w:rsid w:val="00EC51EE"/>
    <w:rsid w:val="00ED3453"/>
    <w:rsid w:val="00ED42F5"/>
    <w:rsid w:val="00ED4F1E"/>
    <w:rsid w:val="00EE0BDD"/>
    <w:rsid w:val="00EE26C2"/>
    <w:rsid w:val="00EE28DB"/>
    <w:rsid w:val="00EE292E"/>
    <w:rsid w:val="00EE2EF7"/>
    <w:rsid w:val="00EE514C"/>
    <w:rsid w:val="00EE6AC1"/>
    <w:rsid w:val="00EE753B"/>
    <w:rsid w:val="00EE7B4E"/>
    <w:rsid w:val="00EF3CB3"/>
    <w:rsid w:val="00EF41C9"/>
    <w:rsid w:val="00EF6154"/>
    <w:rsid w:val="00F00779"/>
    <w:rsid w:val="00F01B8E"/>
    <w:rsid w:val="00F058A1"/>
    <w:rsid w:val="00F05A28"/>
    <w:rsid w:val="00F05BB4"/>
    <w:rsid w:val="00F1059E"/>
    <w:rsid w:val="00F10A0C"/>
    <w:rsid w:val="00F132D2"/>
    <w:rsid w:val="00F13714"/>
    <w:rsid w:val="00F13F80"/>
    <w:rsid w:val="00F150E1"/>
    <w:rsid w:val="00F16D71"/>
    <w:rsid w:val="00F17019"/>
    <w:rsid w:val="00F17118"/>
    <w:rsid w:val="00F204D1"/>
    <w:rsid w:val="00F20DFA"/>
    <w:rsid w:val="00F221D5"/>
    <w:rsid w:val="00F229DF"/>
    <w:rsid w:val="00F22AB3"/>
    <w:rsid w:val="00F22EE7"/>
    <w:rsid w:val="00F24628"/>
    <w:rsid w:val="00F254A3"/>
    <w:rsid w:val="00F262CB"/>
    <w:rsid w:val="00F26EE0"/>
    <w:rsid w:val="00F30166"/>
    <w:rsid w:val="00F30329"/>
    <w:rsid w:val="00F307AF"/>
    <w:rsid w:val="00F30C0F"/>
    <w:rsid w:val="00F30D99"/>
    <w:rsid w:val="00F31107"/>
    <w:rsid w:val="00F325F4"/>
    <w:rsid w:val="00F347C0"/>
    <w:rsid w:val="00F36186"/>
    <w:rsid w:val="00F3797A"/>
    <w:rsid w:val="00F40257"/>
    <w:rsid w:val="00F405C6"/>
    <w:rsid w:val="00F406A5"/>
    <w:rsid w:val="00F4157F"/>
    <w:rsid w:val="00F42801"/>
    <w:rsid w:val="00F43B97"/>
    <w:rsid w:val="00F43DB4"/>
    <w:rsid w:val="00F43F98"/>
    <w:rsid w:val="00F442D0"/>
    <w:rsid w:val="00F4552A"/>
    <w:rsid w:val="00F46E74"/>
    <w:rsid w:val="00F46E96"/>
    <w:rsid w:val="00F47FE6"/>
    <w:rsid w:val="00F51EEF"/>
    <w:rsid w:val="00F5234B"/>
    <w:rsid w:val="00F529F7"/>
    <w:rsid w:val="00F53DAD"/>
    <w:rsid w:val="00F55690"/>
    <w:rsid w:val="00F55B50"/>
    <w:rsid w:val="00F569B4"/>
    <w:rsid w:val="00F575B3"/>
    <w:rsid w:val="00F579E7"/>
    <w:rsid w:val="00F60A0D"/>
    <w:rsid w:val="00F612C4"/>
    <w:rsid w:val="00F62F42"/>
    <w:rsid w:val="00F62F5E"/>
    <w:rsid w:val="00F66086"/>
    <w:rsid w:val="00F66AF8"/>
    <w:rsid w:val="00F67A94"/>
    <w:rsid w:val="00F7055E"/>
    <w:rsid w:val="00F719A0"/>
    <w:rsid w:val="00F721C0"/>
    <w:rsid w:val="00F72ED2"/>
    <w:rsid w:val="00F742F9"/>
    <w:rsid w:val="00F74DA2"/>
    <w:rsid w:val="00F750CB"/>
    <w:rsid w:val="00F752D0"/>
    <w:rsid w:val="00F75F60"/>
    <w:rsid w:val="00F7640C"/>
    <w:rsid w:val="00F766AE"/>
    <w:rsid w:val="00F76C84"/>
    <w:rsid w:val="00F76F76"/>
    <w:rsid w:val="00F77B9B"/>
    <w:rsid w:val="00F80AF4"/>
    <w:rsid w:val="00F80F3C"/>
    <w:rsid w:val="00F8698B"/>
    <w:rsid w:val="00F87077"/>
    <w:rsid w:val="00F8710F"/>
    <w:rsid w:val="00F87772"/>
    <w:rsid w:val="00F90439"/>
    <w:rsid w:val="00F93DA1"/>
    <w:rsid w:val="00F94AB3"/>
    <w:rsid w:val="00F94FE3"/>
    <w:rsid w:val="00F95A33"/>
    <w:rsid w:val="00F95CD0"/>
    <w:rsid w:val="00F97266"/>
    <w:rsid w:val="00F97B52"/>
    <w:rsid w:val="00FA2957"/>
    <w:rsid w:val="00FA4492"/>
    <w:rsid w:val="00FA45BA"/>
    <w:rsid w:val="00FA4CBF"/>
    <w:rsid w:val="00FA5DE8"/>
    <w:rsid w:val="00FA6CD6"/>
    <w:rsid w:val="00FA7263"/>
    <w:rsid w:val="00FA7B5C"/>
    <w:rsid w:val="00FB00DF"/>
    <w:rsid w:val="00FB2FB5"/>
    <w:rsid w:val="00FB3290"/>
    <w:rsid w:val="00FB35C1"/>
    <w:rsid w:val="00FB35F0"/>
    <w:rsid w:val="00FB3B6E"/>
    <w:rsid w:val="00FB4121"/>
    <w:rsid w:val="00FB44F7"/>
    <w:rsid w:val="00FB47DC"/>
    <w:rsid w:val="00FB4B80"/>
    <w:rsid w:val="00FB4EF0"/>
    <w:rsid w:val="00FB6B03"/>
    <w:rsid w:val="00FB6E43"/>
    <w:rsid w:val="00FB7C3D"/>
    <w:rsid w:val="00FC22C6"/>
    <w:rsid w:val="00FC3E48"/>
    <w:rsid w:val="00FC4021"/>
    <w:rsid w:val="00FC5B5D"/>
    <w:rsid w:val="00FC6242"/>
    <w:rsid w:val="00FD0F95"/>
    <w:rsid w:val="00FD1301"/>
    <w:rsid w:val="00FD32FC"/>
    <w:rsid w:val="00FD56AD"/>
    <w:rsid w:val="00FD7CCA"/>
    <w:rsid w:val="00FE0827"/>
    <w:rsid w:val="00FE0C3F"/>
    <w:rsid w:val="00FE0CCC"/>
    <w:rsid w:val="00FE1155"/>
    <w:rsid w:val="00FE447D"/>
    <w:rsid w:val="00FE4796"/>
    <w:rsid w:val="00FE4C69"/>
    <w:rsid w:val="00FE5317"/>
    <w:rsid w:val="00FE5613"/>
    <w:rsid w:val="00FE5756"/>
    <w:rsid w:val="00FE58F2"/>
    <w:rsid w:val="00FE68A8"/>
    <w:rsid w:val="00FE7377"/>
    <w:rsid w:val="00FE739A"/>
    <w:rsid w:val="00FE7CC8"/>
    <w:rsid w:val="00FF0A14"/>
    <w:rsid w:val="00FF2CE0"/>
    <w:rsid w:val="00FF4BF1"/>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1"/>
    <w:link w:val="Heading1Char"/>
    <w:uiPriority w:val="99"/>
    <w:qFormat/>
    <w:rsid w:val="004864C7"/>
    <w:pPr>
      <w:keepNext/>
      <w:numPr>
        <w:ilvl w:val="1"/>
        <w:numId w:val="26"/>
      </w:numPr>
      <w:spacing w:before="240" w:after="240" w:line="240" w:lineRule="auto"/>
      <w:outlineLvl w:val="0"/>
    </w:pPr>
    <w:rPr>
      <w:rFonts w:ascii="Arial" w:eastAsia="Times New Roman" w:hAnsi="Arial" w:cs="Times New Roman"/>
      <w:b/>
      <w:kern w:val="32"/>
      <w:sz w:val="28"/>
      <w:szCs w:val="20"/>
      <w:lang w:val="en-GB"/>
    </w:rPr>
  </w:style>
  <w:style w:type="paragraph" w:styleId="Heading2">
    <w:name w:val="heading 2"/>
    <w:basedOn w:val="Normal"/>
    <w:next w:val="BodyText1"/>
    <w:link w:val="Heading2Char"/>
    <w:uiPriority w:val="99"/>
    <w:semiHidden/>
    <w:unhideWhenUsed/>
    <w:qFormat/>
    <w:rsid w:val="004864C7"/>
    <w:pPr>
      <w:keepNext/>
      <w:numPr>
        <w:ilvl w:val="2"/>
        <w:numId w:val="26"/>
      </w:numPr>
      <w:spacing w:before="160" w:after="240" w:line="240" w:lineRule="auto"/>
      <w:outlineLvl w:val="1"/>
    </w:pPr>
    <w:rPr>
      <w:rFonts w:ascii="Arial" w:eastAsia="Times New Roman" w:hAnsi="Arial" w:cs="Times New Roman"/>
      <w:b/>
      <w:sz w:val="24"/>
      <w:szCs w:val="20"/>
      <w:lang w:val="en-GB"/>
    </w:rPr>
  </w:style>
  <w:style w:type="paragraph" w:styleId="Heading3">
    <w:name w:val="heading 3"/>
    <w:basedOn w:val="Heading2"/>
    <w:next w:val="BodyText1"/>
    <w:link w:val="Heading3Char"/>
    <w:uiPriority w:val="99"/>
    <w:semiHidden/>
    <w:unhideWhenUsed/>
    <w:qFormat/>
    <w:rsid w:val="004864C7"/>
    <w:pPr>
      <w:numPr>
        <w:ilvl w:val="3"/>
      </w:numPr>
      <w:tabs>
        <w:tab w:val="left" w:pos="720"/>
      </w:tabs>
      <w:spacing w:before="0" w:after="60"/>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079"/>
    <w:rPr>
      <w:rFonts w:ascii="Tahoma" w:hAnsi="Tahoma" w:cs="Tahoma"/>
      <w:sz w:val="16"/>
      <w:szCs w:val="16"/>
    </w:rPr>
  </w:style>
  <w:style w:type="paragraph" w:styleId="ListParagraph">
    <w:name w:val="List Paragraph"/>
    <w:basedOn w:val="Normal"/>
    <w:uiPriority w:val="34"/>
    <w:qFormat/>
    <w:rsid w:val="00A363CB"/>
    <w:pPr>
      <w:ind w:left="720"/>
      <w:contextualSpacing/>
    </w:pPr>
  </w:style>
  <w:style w:type="table" w:styleId="TableGrid">
    <w:name w:val="Table Grid"/>
    <w:basedOn w:val="TableNormal"/>
    <w:rsid w:val="00CE0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2,Caption Char1 Char,Caption Char Char Char1,Caption Char Char1,Caption Char Char Char Char"/>
    <w:basedOn w:val="Normal"/>
    <w:next w:val="Normal"/>
    <w:link w:val="CaptionChar"/>
    <w:uiPriority w:val="35"/>
    <w:unhideWhenUsed/>
    <w:qFormat/>
    <w:rsid w:val="00A52962"/>
    <w:pPr>
      <w:spacing w:line="240" w:lineRule="auto"/>
    </w:pPr>
    <w:rPr>
      <w:b/>
      <w:bCs/>
      <w:color w:val="4F81BD" w:themeColor="accent1"/>
      <w:sz w:val="18"/>
      <w:szCs w:val="18"/>
    </w:rPr>
  </w:style>
  <w:style w:type="paragraph" w:styleId="FootnoteText">
    <w:name w:val="footnote text"/>
    <w:aliases w:val="single space,f,fn,Footnote Text Char1,Footnote Text Char2 Char,Footnote Text Char1 Char Char,Footnote Text Char2 Char Char Char,Footnote Text Char1 Char Char Char Char,Footnote Text Char2 Char Char Char Char Char,Footnote Text Char1 Char"/>
    <w:basedOn w:val="Normal"/>
    <w:link w:val="FootnoteTextChar"/>
    <w:qFormat/>
    <w:rsid w:val="00A5296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 Char,fn Char,Footnote Text Char1 Char1,Footnote Text Char2 Char Char,Footnote Text Char1 Char Char Char,Footnote Text Char2 Char Char Char Char,Footnote Text Char1 Char Char Char Char Char"/>
    <w:basedOn w:val="DefaultParagraphFont"/>
    <w:link w:val="FootnoteText"/>
    <w:rsid w:val="00A52962"/>
    <w:rPr>
      <w:rFonts w:ascii="Times New Roman" w:eastAsia="Times New Roman" w:hAnsi="Times New Roman" w:cs="Times New Roman"/>
      <w:sz w:val="20"/>
      <w:szCs w:val="20"/>
    </w:rPr>
  </w:style>
  <w:style w:type="character" w:styleId="FootnoteReference">
    <w:name w:val="footnote reference"/>
    <w:aliases w:val="Ref,de nota al pie,16 Point,Superscript 6 Point,Appel note de bas de page,ftref,BVI fnr,Footnote Reference Number,Footnote,Char Char Char Char Car Char,Car1,Знак сноски 1,Footnote Reference Char Char Char, BVI fnr, Car1"/>
    <w:basedOn w:val="DefaultParagraphFont"/>
    <w:rsid w:val="00A52962"/>
    <w:rPr>
      <w:vertAlign w:val="superscript"/>
    </w:rPr>
  </w:style>
  <w:style w:type="character" w:customStyle="1" w:styleId="CaptionChar">
    <w:name w:val="Caption Char"/>
    <w:aliases w:val="Caption Char2 Char,Caption Char1 Char Char,Caption Char Char Char1 Char,Caption Char Char1 Char,Caption Char Char Char Char Char"/>
    <w:basedOn w:val="DefaultParagraphFont"/>
    <w:link w:val="Caption"/>
    <w:uiPriority w:val="35"/>
    <w:rsid w:val="00A52962"/>
    <w:rPr>
      <w:b/>
      <w:bCs/>
      <w:color w:val="4F81BD" w:themeColor="accent1"/>
      <w:sz w:val="18"/>
      <w:szCs w:val="18"/>
    </w:rPr>
  </w:style>
  <w:style w:type="paragraph" w:styleId="Header">
    <w:name w:val="header"/>
    <w:basedOn w:val="Normal"/>
    <w:link w:val="HeaderChar"/>
    <w:uiPriority w:val="99"/>
    <w:unhideWhenUsed/>
    <w:rsid w:val="00716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6A"/>
  </w:style>
  <w:style w:type="paragraph" w:styleId="Footer">
    <w:name w:val="footer"/>
    <w:basedOn w:val="Normal"/>
    <w:link w:val="FooterChar"/>
    <w:uiPriority w:val="99"/>
    <w:unhideWhenUsed/>
    <w:rsid w:val="00716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6A"/>
  </w:style>
  <w:style w:type="paragraph" w:customStyle="1" w:styleId="WBDocwithNumber">
    <w:name w:val="WB Doc with Number"/>
    <w:basedOn w:val="Normal"/>
    <w:link w:val="WBDocwithNumberChar"/>
    <w:qFormat/>
    <w:rsid w:val="00DA5FC9"/>
    <w:pPr>
      <w:tabs>
        <w:tab w:val="left" w:pos="720"/>
      </w:tabs>
      <w:spacing w:after="240" w:line="240" w:lineRule="auto"/>
      <w:jc w:val="both"/>
      <w:outlineLvl w:val="1"/>
    </w:pPr>
    <w:rPr>
      <w:rFonts w:ascii="Times New Roman" w:eastAsia="Times New Roman" w:hAnsi="Times New Roman" w:cs="Times New Roman"/>
      <w:sz w:val="24"/>
      <w:szCs w:val="24"/>
    </w:rPr>
  </w:style>
  <w:style w:type="character" w:customStyle="1" w:styleId="WBDocwithNumberChar">
    <w:name w:val="WB Doc with Number Char"/>
    <w:basedOn w:val="DefaultParagraphFont"/>
    <w:link w:val="WBDocwithNumber"/>
    <w:rsid w:val="00DA5FC9"/>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914993"/>
    <w:pPr>
      <w:spacing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914993"/>
    <w:rPr>
      <w:rFonts w:eastAsiaTheme="minorHAnsi"/>
      <w:sz w:val="20"/>
      <w:szCs w:val="20"/>
      <w:lang w:val="en-GB"/>
    </w:rPr>
  </w:style>
  <w:style w:type="character" w:styleId="CommentReference">
    <w:name w:val="annotation reference"/>
    <w:basedOn w:val="DefaultParagraphFont"/>
    <w:uiPriority w:val="99"/>
    <w:semiHidden/>
    <w:unhideWhenUsed/>
    <w:rsid w:val="00914993"/>
    <w:rPr>
      <w:sz w:val="16"/>
      <w:szCs w:val="16"/>
    </w:rPr>
  </w:style>
  <w:style w:type="character" w:customStyle="1" w:styleId="Heading1Char">
    <w:name w:val="Heading 1 Char"/>
    <w:basedOn w:val="DefaultParagraphFont"/>
    <w:link w:val="Heading1"/>
    <w:uiPriority w:val="99"/>
    <w:rsid w:val="004864C7"/>
    <w:rPr>
      <w:rFonts w:ascii="Arial" w:eastAsia="Times New Roman" w:hAnsi="Arial" w:cs="Times New Roman"/>
      <w:b/>
      <w:kern w:val="32"/>
      <w:sz w:val="28"/>
      <w:szCs w:val="20"/>
      <w:lang w:val="en-GB"/>
    </w:rPr>
  </w:style>
  <w:style w:type="character" w:customStyle="1" w:styleId="Heading2Char">
    <w:name w:val="Heading 2 Char"/>
    <w:basedOn w:val="DefaultParagraphFont"/>
    <w:link w:val="Heading2"/>
    <w:uiPriority w:val="99"/>
    <w:semiHidden/>
    <w:rsid w:val="004864C7"/>
    <w:rPr>
      <w:rFonts w:ascii="Arial" w:eastAsia="Times New Roman" w:hAnsi="Arial" w:cs="Times New Roman"/>
      <w:b/>
      <w:sz w:val="24"/>
      <w:szCs w:val="20"/>
      <w:lang w:val="en-GB"/>
    </w:rPr>
  </w:style>
  <w:style w:type="character" w:customStyle="1" w:styleId="Heading3Char">
    <w:name w:val="Heading 3 Char"/>
    <w:basedOn w:val="DefaultParagraphFont"/>
    <w:link w:val="Heading3"/>
    <w:uiPriority w:val="99"/>
    <w:semiHidden/>
    <w:rsid w:val="004864C7"/>
    <w:rPr>
      <w:rFonts w:ascii="Arial" w:eastAsia="Times New Roman" w:hAnsi="Arial" w:cs="Times New Roman"/>
      <w:b/>
      <w:sz w:val="24"/>
      <w:szCs w:val="20"/>
      <w:lang w:val="en-GB"/>
    </w:rPr>
  </w:style>
  <w:style w:type="paragraph" w:customStyle="1" w:styleId="BodyText1">
    <w:name w:val="Body Text1"/>
    <w:aliases w:val="OPM,OPM + Left:  1.27 cm,OPM + Bold,Italic,Body text"/>
    <w:basedOn w:val="Normal"/>
    <w:link w:val="BodytextChar"/>
    <w:uiPriority w:val="99"/>
    <w:qFormat/>
    <w:rsid w:val="004864C7"/>
    <w:pPr>
      <w:spacing w:after="240" w:line="240" w:lineRule="auto"/>
      <w:jc w:val="both"/>
    </w:pPr>
    <w:rPr>
      <w:rFonts w:ascii="Arial" w:eastAsia="Times New Roman" w:hAnsi="Arial" w:cs="Times New Roman"/>
      <w:szCs w:val="20"/>
      <w:lang w:val="en-GB"/>
    </w:rPr>
  </w:style>
  <w:style w:type="character" w:customStyle="1" w:styleId="BodytextChar">
    <w:name w:val="Body text Char"/>
    <w:aliases w:val="OPM Char"/>
    <w:link w:val="BodyText1"/>
    <w:uiPriority w:val="99"/>
    <w:locked/>
    <w:rsid w:val="004864C7"/>
    <w:rPr>
      <w:rFonts w:ascii="Arial" w:eastAsia="Times New Roman" w:hAnsi="Arial" w:cs="Times New Roman"/>
      <w:szCs w:val="20"/>
      <w:lang w:val="en-GB"/>
    </w:rPr>
  </w:style>
  <w:style w:type="paragraph" w:customStyle="1" w:styleId="Figure">
    <w:name w:val="Figure"/>
    <w:basedOn w:val="Normal"/>
    <w:next w:val="BodyText1"/>
    <w:uiPriority w:val="99"/>
    <w:rsid w:val="004864C7"/>
    <w:pPr>
      <w:keepNext/>
      <w:numPr>
        <w:ilvl w:val="5"/>
        <w:numId w:val="26"/>
      </w:numPr>
      <w:spacing w:after="240" w:line="240" w:lineRule="auto"/>
      <w:outlineLvl w:val="1"/>
    </w:pPr>
    <w:rPr>
      <w:rFonts w:ascii="Arial" w:eastAsia="Times New Roman" w:hAnsi="Arial" w:cs="Times New Roman"/>
      <w:b/>
      <w:sz w:val="24"/>
      <w:szCs w:val="20"/>
      <w:lang w:val="en-GB"/>
    </w:rPr>
  </w:style>
  <w:style w:type="paragraph" w:customStyle="1" w:styleId="Table">
    <w:name w:val="Table"/>
    <w:basedOn w:val="Normal"/>
    <w:next w:val="BodyText1"/>
    <w:uiPriority w:val="99"/>
    <w:qFormat/>
    <w:rsid w:val="004864C7"/>
    <w:pPr>
      <w:keepNext/>
      <w:numPr>
        <w:ilvl w:val="4"/>
        <w:numId w:val="26"/>
      </w:numPr>
      <w:spacing w:after="240" w:line="240" w:lineRule="auto"/>
      <w:outlineLvl w:val="1"/>
    </w:pPr>
    <w:rPr>
      <w:rFonts w:ascii="Arial" w:eastAsia="Times New Roman" w:hAnsi="Arial" w:cs="Times New Roman"/>
      <w:b/>
      <w:sz w:val="24"/>
      <w:szCs w:val="20"/>
      <w:lang w:val="en-GB"/>
    </w:rPr>
  </w:style>
  <w:style w:type="paragraph" w:customStyle="1" w:styleId="Boxtitle">
    <w:name w:val="Box title"/>
    <w:basedOn w:val="Normal"/>
    <w:next w:val="Normal"/>
    <w:rsid w:val="004864C7"/>
    <w:pPr>
      <w:keepNext/>
      <w:numPr>
        <w:ilvl w:val="6"/>
        <w:numId w:val="26"/>
      </w:numPr>
      <w:spacing w:before="160" w:after="240" w:line="240" w:lineRule="auto"/>
      <w:ind w:right="170"/>
      <w:outlineLvl w:val="1"/>
    </w:pPr>
    <w:rPr>
      <w:rFonts w:ascii="Arial" w:eastAsia="Times New Roman" w:hAnsi="Arial" w:cs="Times New Roman"/>
      <w:b/>
      <w:sz w:val="24"/>
      <w:szCs w:val="20"/>
      <w:lang w:val="en-GB"/>
    </w:rPr>
  </w:style>
  <w:style w:type="paragraph" w:customStyle="1" w:styleId="Section">
    <w:name w:val="Section"/>
    <w:basedOn w:val="Normal"/>
    <w:next w:val="Heading1"/>
    <w:uiPriority w:val="99"/>
    <w:qFormat/>
    <w:rsid w:val="004864C7"/>
    <w:pPr>
      <w:keepNext/>
      <w:pageBreakBefore/>
      <w:numPr>
        <w:numId w:val="26"/>
      </w:numPr>
      <w:spacing w:after="400" w:line="240" w:lineRule="auto"/>
      <w:outlineLvl w:val="0"/>
    </w:pPr>
    <w:rPr>
      <w:rFonts w:ascii="Arial" w:eastAsia="Times New Roman" w:hAnsi="Arial" w:cs="Times New Roman"/>
      <w:b/>
      <w:color w:val="333399"/>
      <w:kern w:val="32"/>
      <w:sz w:val="32"/>
      <w:szCs w:val="20"/>
      <w:lang w:val="en-GB"/>
    </w:rPr>
  </w:style>
  <w:style w:type="paragraph" w:customStyle="1" w:styleId="Aufgang">
    <w:name w:val="Aufgang"/>
    <w:basedOn w:val="Normal"/>
    <w:uiPriority w:val="99"/>
    <w:rsid w:val="00295CA8"/>
    <w:pPr>
      <w:numPr>
        <w:numId w:val="35"/>
      </w:numPr>
      <w:spacing w:before="120" w:after="160" w:line="240" w:lineRule="auto"/>
      <w:jc w:val="both"/>
    </w:pPr>
    <w:rPr>
      <w:rFonts w:ascii="Times New Roman" w:eastAsia="Times New Roman" w:hAnsi="Times New Roman" w:cs="Times New Roman"/>
      <w:sz w:val="24"/>
      <w:szCs w:val="24"/>
    </w:rPr>
  </w:style>
  <w:style w:type="paragraph" w:customStyle="1" w:styleId="WBDocMainPara">
    <w:name w:val="WB Doc Main Para"/>
    <w:basedOn w:val="Normal"/>
    <w:link w:val="WBDocMainParaChar"/>
    <w:qFormat/>
    <w:rsid w:val="006B705F"/>
    <w:pPr>
      <w:numPr>
        <w:numId w:val="40"/>
      </w:numPr>
      <w:tabs>
        <w:tab w:val="left" w:pos="720"/>
      </w:tabs>
      <w:spacing w:after="240" w:line="240" w:lineRule="auto"/>
      <w:jc w:val="both"/>
      <w:outlineLvl w:val="1"/>
    </w:pPr>
    <w:rPr>
      <w:rFonts w:ascii="Times New Roman" w:eastAsia="Times New Roman" w:hAnsi="Times New Roman" w:cs="Times New Roman"/>
      <w:sz w:val="24"/>
      <w:szCs w:val="24"/>
    </w:rPr>
  </w:style>
  <w:style w:type="character" w:customStyle="1" w:styleId="ParaChar">
    <w:name w:val="Para Char"/>
    <w:basedOn w:val="DefaultParagraphFont"/>
    <w:link w:val="Para"/>
    <w:locked/>
    <w:rsid w:val="006B705F"/>
    <w:rPr>
      <w:rFonts w:ascii="Times New Roman" w:eastAsia="Times New Roman" w:hAnsi="Times New Roman" w:cs="Times New Roman"/>
      <w:sz w:val="24"/>
      <w:szCs w:val="24"/>
    </w:rPr>
  </w:style>
  <w:style w:type="paragraph" w:customStyle="1" w:styleId="Para">
    <w:name w:val="Para"/>
    <w:basedOn w:val="WBDocMainPara"/>
    <w:link w:val="ParaChar"/>
    <w:qFormat/>
    <w:rsid w:val="006B705F"/>
    <w:pPr>
      <w:numPr>
        <w:numId w:val="41"/>
      </w:numPr>
    </w:pPr>
  </w:style>
  <w:style w:type="character" w:customStyle="1" w:styleId="WBDocMainParaChar">
    <w:name w:val="WB Doc Main Para Char"/>
    <w:basedOn w:val="DefaultParagraphFont"/>
    <w:link w:val="WBDocMainPara"/>
    <w:locked/>
    <w:rsid w:val="002E7182"/>
    <w:rPr>
      <w:rFonts w:ascii="Times New Roman" w:eastAsia="Times New Roman" w:hAnsi="Times New Roman" w:cs="Times New Roman"/>
      <w:sz w:val="24"/>
      <w:szCs w:val="24"/>
    </w:rPr>
  </w:style>
  <w:style w:type="paragraph" w:customStyle="1" w:styleId="Default">
    <w:name w:val="Default"/>
    <w:rsid w:val="00241A9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TOCHeading">
    <w:name w:val="TOC Heading"/>
    <w:basedOn w:val="Heading1"/>
    <w:next w:val="Normal"/>
    <w:uiPriority w:val="39"/>
    <w:semiHidden/>
    <w:unhideWhenUsed/>
    <w:qFormat/>
    <w:rsid w:val="00554A66"/>
    <w:pPr>
      <w:keepLines/>
      <w:numPr>
        <w:ilvl w:val="0"/>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val="en-US" w:eastAsia="ja-JP"/>
    </w:rPr>
  </w:style>
  <w:style w:type="paragraph" w:customStyle="1" w:styleId="MainParawithChapter">
    <w:name w:val="Main Para with Chapter#"/>
    <w:basedOn w:val="Normal"/>
    <w:rsid w:val="003C1D58"/>
    <w:pPr>
      <w:numPr>
        <w:ilvl w:val="1"/>
        <w:numId w:val="45"/>
      </w:numPr>
      <w:spacing w:after="240" w:line="240" w:lineRule="auto"/>
      <w:jc w:val="both"/>
      <w:outlineLvl w:val="1"/>
    </w:pPr>
    <w:rPr>
      <w:rFonts w:ascii="Times New Roman" w:eastAsia="Times New Roman" w:hAnsi="Times New Roman" w:cs="Times New Roman"/>
      <w:sz w:val="24"/>
      <w:szCs w:val="24"/>
    </w:rPr>
  </w:style>
  <w:style w:type="paragraph" w:customStyle="1" w:styleId="Heading1a">
    <w:name w:val="Heading 1a"/>
    <w:basedOn w:val="Normal"/>
    <w:next w:val="Normal"/>
    <w:rsid w:val="003C1D58"/>
    <w:pPr>
      <w:keepNext/>
      <w:keepLines/>
      <w:numPr>
        <w:numId w:val="45"/>
      </w:numPr>
      <w:spacing w:before="1440" w:after="240" w:line="240" w:lineRule="auto"/>
      <w:jc w:val="center"/>
      <w:outlineLvl w:val="0"/>
    </w:pPr>
    <w:rPr>
      <w:rFonts w:ascii="Times New Roman" w:eastAsia="Times New Roman" w:hAnsi="Times New Roman" w:cs="Times New Roman"/>
      <w:b/>
      <w:caps/>
      <w:sz w:val="32"/>
      <w:szCs w:val="24"/>
    </w:rPr>
  </w:style>
  <w:style w:type="paragraph" w:styleId="CommentSubject">
    <w:name w:val="annotation subject"/>
    <w:basedOn w:val="CommentText"/>
    <w:next w:val="CommentText"/>
    <w:link w:val="CommentSubjectChar"/>
    <w:uiPriority w:val="99"/>
    <w:semiHidden/>
    <w:unhideWhenUsed/>
    <w:rsid w:val="00912A91"/>
    <w:rPr>
      <w:rFonts w:eastAsiaTheme="minorEastAsia"/>
      <w:b/>
      <w:bCs/>
      <w:lang w:val="en-US"/>
    </w:rPr>
  </w:style>
  <w:style w:type="character" w:customStyle="1" w:styleId="CommentSubjectChar">
    <w:name w:val="Comment Subject Char"/>
    <w:basedOn w:val="CommentTextChar"/>
    <w:link w:val="CommentSubject"/>
    <w:uiPriority w:val="99"/>
    <w:semiHidden/>
    <w:rsid w:val="00912A91"/>
    <w:rPr>
      <w:rFonts w:eastAsiaTheme="minorHAnsi"/>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1"/>
    <w:link w:val="Heading1Char"/>
    <w:uiPriority w:val="99"/>
    <w:qFormat/>
    <w:rsid w:val="004864C7"/>
    <w:pPr>
      <w:keepNext/>
      <w:numPr>
        <w:ilvl w:val="1"/>
        <w:numId w:val="26"/>
      </w:numPr>
      <w:spacing w:before="240" w:after="240" w:line="240" w:lineRule="auto"/>
      <w:outlineLvl w:val="0"/>
    </w:pPr>
    <w:rPr>
      <w:rFonts w:ascii="Arial" w:eastAsia="Times New Roman" w:hAnsi="Arial" w:cs="Times New Roman"/>
      <w:b/>
      <w:kern w:val="32"/>
      <w:sz w:val="28"/>
      <w:szCs w:val="20"/>
      <w:lang w:val="en-GB"/>
    </w:rPr>
  </w:style>
  <w:style w:type="paragraph" w:styleId="Heading2">
    <w:name w:val="heading 2"/>
    <w:basedOn w:val="Normal"/>
    <w:next w:val="BodyText1"/>
    <w:link w:val="Heading2Char"/>
    <w:uiPriority w:val="99"/>
    <w:semiHidden/>
    <w:unhideWhenUsed/>
    <w:qFormat/>
    <w:rsid w:val="004864C7"/>
    <w:pPr>
      <w:keepNext/>
      <w:numPr>
        <w:ilvl w:val="2"/>
        <w:numId w:val="26"/>
      </w:numPr>
      <w:spacing w:before="160" w:after="240" w:line="240" w:lineRule="auto"/>
      <w:outlineLvl w:val="1"/>
    </w:pPr>
    <w:rPr>
      <w:rFonts w:ascii="Arial" w:eastAsia="Times New Roman" w:hAnsi="Arial" w:cs="Times New Roman"/>
      <w:b/>
      <w:sz w:val="24"/>
      <w:szCs w:val="20"/>
      <w:lang w:val="en-GB"/>
    </w:rPr>
  </w:style>
  <w:style w:type="paragraph" w:styleId="Heading3">
    <w:name w:val="heading 3"/>
    <w:basedOn w:val="Heading2"/>
    <w:next w:val="BodyText1"/>
    <w:link w:val="Heading3Char"/>
    <w:uiPriority w:val="99"/>
    <w:semiHidden/>
    <w:unhideWhenUsed/>
    <w:qFormat/>
    <w:rsid w:val="004864C7"/>
    <w:pPr>
      <w:numPr>
        <w:ilvl w:val="3"/>
      </w:numPr>
      <w:tabs>
        <w:tab w:val="left" w:pos="720"/>
      </w:tabs>
      <w:spacing w:before="0" w:after="60"/>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079"/>
    <w:rPr>
      <w:rFonts w:ascii="Tahoma" w:hAnsi="Tahoma" w:cs="Tahoma"/>
      <w:sz w:val="16"/>
      <w:szCs w:val="16"/>
    </w:rPr>
  </w:style>
  <w:style w:type="paragraph" w:styleId="ListParagraph">
    <w:name w:val="List Paragraph"/>
    <w:basedOn w:val="Normal"/>
    <w:uiPriority w:val="34"/>
    <w:qFormat/>
    <w:rsid w:val="00A363CB"/>
    <w:pPr>
      <w:ind w:left="720"/>
      <w:contextualSpacing/>
    </w:pPr>
  </w:style>
  <w:style w:type="table" w:styleId="TableGrid">
    <w:name w:val="Table Grid"/>
    <w:basedOn w:val="TableNormal"/>
    <w:rsid w:val="00CE0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2,Caption Char1 Char,Caption Char Char Char1,Caption Char Char1,Caption Char Char Char Char"/>
    <w:basedOn w:val="Normal"/>
    <w:next w:val="Normal"/>
    <w:link w:val="CaptionChar"/>
    <w:uiPriority w:val="35"/>
    <w:unhideWhenUsed/>
    <w:qFormat/>
    <w:rsid w:val="00A52962"/>
    <w:pPr>
      <w:spacing w:line="240" w:lineRule="auto"/>
    </w:pPr>
    <w:rPr>
      <w:b/>
      <w:bCs/>
      <w:color w:val="4F81BD" w:themeColor="accent1"/>
      <w:sz w:val="18"/>
      <w:szCs w:val="18"/>
    </w:rPr>
  </w:style>
  <w:style w:type="paragraph" w:styleId="FootnoteText">
    <w:name w:val="footnote text"/>
    <w:aliases w:val="single space,f,fn,Footnote Text Char1,Footnote Text Char2 Char,Footnote Text Char1 Char Char,Footnote Text Char2 Char Char Char,Footnote Text Char1 Char Char Char Char,Footnote Text Char2 Char Char Char Char Char,Footnote Text Char1 Char"/>
    <w:basedOn w:val="Normal"/>
    <w:link w:val="FootnoteTextChar"/>
    <w:qFormat/>
    <w:rsid w:val="00A5296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 Char,fn Char,Footnote Text Char1 Char1,Footnote Text Char2 Char Char,Footnote Text Char1 Char Char Char,Footnote Text Char2 Char Char Char Char,Footnote Text Char1 Char Char Char Char Char"/>
    <w:basedOn w:val="DefaultParagraphFont"/>
    <w:link w:val="FootnoteText"/>
    <w:rsid w:val="00A52962"/>
    <w:rPr>
      <w:rFonts w:ascii="Times New Roman" w:eastAsia="Times New Roman" w:hAnsi="Times New Roman" w:cs="Times New Roman"/>
      <w:sz w:val="20"/>
      <w:szCs w:val="20"/>
    </w:rPr>
  </w:style>
  <w:style w:type="character" w:styleId="FootnoteReference">
    <w:name w:val="footnote reference"/>
    <w:aliases w:val="Ref,de nota al pie,16 Point,Superscript 6 Point,Appel note de bas de page,ftref,BVI fnr,Footnote Reference Number,Footnote,Char Char Char Char Car Char,Car1,Знак сноски 1,Footnote Reference Char Char Char, BVI fnr, Car1"/>
    <w:basedOn w:val="DefaultParagraphFont"/>
    <w:rsid w:val="00A52962"/>
    <w:rPr>
      <w:vertAlign w:val="superscript"/>
    </w:rPr>
  </w:style>
  <w:style w:type="character" w:customStyle="1" w:styleId="CaptionChar">
    <w:name w:val="Caption Char"/>
    <w:aliases w:val="Caption Char2 Char,Caption Char1 Char Char,Caption Char Char Char1 Char,Caption Char Char1 Char,Caption Char Char Char Char Char"/>
    <w:basedOn w:val="DefaultParagraphFont"/>
    <w:link w:val="Caption"/>
    <w:uiPriority w:val="35"/>
    <w:rsid w:val="00A52962"/>
    <w:rPr>
      <w:b/>
      <w:bCs/>
      <w:color w:val="4F81BD" w:themeColor="accent1"/>
      <w:sz w:val="18"/>
      <w:szCs w:val="18"/>
    </w:rPr>
  </w:style>
  <w:style w:type="paragraph" w:styleId="Header">
    <w:name w:val="header"/>
    <w:basedOn w:val="Normal"/>
    <w:link w:val="HeaderChar"/>
    <w:uiPriority w:val="99"/>
    <w:unhideWhenUsed/>
    <w:rsid w:val="00716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6A"/>
  </w:style>
  <w:style w:type="paragraph" w:styleId="Footer">
    <w:name w:val="footer"/>
    <w:basedOn w:val="Normal"/>
    <w:link w:val="FooterChar"/>
    <w:uiPriority w:val="99"/>
    <w:unhideWhenUsed/>
    <w:rsid w:val="00716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6A"/>
  </w:style>
  <w:style w:type="paragraph" w:customStyle="1" w:styleId="WBDocwithNumber">
    <w:name w:val="WB Doc with Number"/>
    <w:basedOn w:val="Normal"/>
    <w:link w:val="WBDocwithNumberChar"/>
    <w:qFormat/>
    <w:rsid w:val="00DA5FC9"/>
    <w:pPr>
      <w:tabs>
        <w:tab w:val="left" w:pos="720"/>
      </w:tabs>
      <w:spacing w:after="240" w:line="240" w:lineRule="auto"/>
      <w:jc w:val="both"/>
      <w:outlineLvl w:val="1"/>
    </w:pPr>
    <w:rPr>
      <w:rFonts w:ascii="Times New Roman" w:eastAsia="Times New Roman" w:hAnsi="Times New Roman" w:cs="Times New Roman"/>
      <w:sz w:val="24"/>
      <w:szCs w:val="24"/>
    </w:rPr>
  </w:style>
  <w:style w:type="character" w:customStyle="1" w:styleId="WBDocwithNumberChar">
    <w:name w:val="WB Doc with Number Char"/>
    <w:basedOn w:val="DefaultParagraphFont"/>
    <w:link w:val="WBDocwithNumber"/>
    <w:rsid w:val="00DA5FC9"/>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914993"/>
    <w:pPr>
      <w:spacing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914993"/>
    <w:rPr>
      <w:rFonts w:eastAsiaTheme="minorHAnsi"/>
      <w:sz w:val="20"/>
      <w:szCs w:val="20"/>
      <w:lang w:val="en-GB"/>
    </w:rPr>
  </w:style>
  <w:style w:type="character" w:styleId="CommentReference">
    <w:name w:val="annotation reference"/>
    <w:basedOn w:val="DefaultParagraphFont"/>
    <w:uiPriority w:val="99"/>
    <w:semiHidden/>
    <w:unhideWhenUsed/>
    <w:rsid w:val="00914993"/>
    <w:rPr>
      <w:sz w:val="16"/>
      <w:szCs w:val="16"/>
    </w:rPr>
  </w:style>
  <w:style w:type="character" w:customStyle="1" w:styleId="Heading1Char">
    <w:name w:val="Heading 1 Char"/>
    <w:basedOn w:val="DefaultParagraphFont"/>
    <w:link w:val="Heading1"/>
    <w:uiPriority w:val="99"/>
    <w:rsid w:val="004864C7"/>
    <w:rPr>
      <w:rFonts w:ascii="Arial" w:eastAsia="Times New Roman" w:hAnsi="Arial" w:cs="Times New Roman"/>
      <w:b/>
      <w:kern w:val="32"/>
      <w:sz w:val="28"/>
      <w:szCs w:val="20"/>
      <w:lang w:val="en-GB"/>
    </w:rPr>
  </w:style>
  <w:style w:type="character" w:customStyle="1" w:styleId="Heading2Char">
    <w:name w:val="Heading 2 Char"/>
    <w:basedOn w:val="DefaultParagraphFont"/>
    <w:link w:val="Heading2"/>
    <w:uiPriority w:val="99"/>
    <w:semiHidden/>
    <w:rsid w:val="004864C7"/>
    <w:rPr>
      <w:rFonts w:ascii="Arial" w:eastAsia="Times New Roman" w:hAnsi="Arial" w:cs="Times New Roman"/>
      <w:b/>
      <w:sz w:val="24"/>
      <w:szCs w:val="20"/>
      <w:lang w:val="en-GB"/>
    </w:rPr>
  </w:style>
  <w:style w:type="character" w:customStyle="1" w:styleId="Heading3Char">
    <w:name w:val="Heading 3 Char"/>
    <w:basedOn w:val="DefaultParagraphFont"/>
    <w:link w:val="Heading3"/>
    <w:uiPriority w:val="99"/>
    <w:semiHidden/>
    <w:rsid w:val="004864C7"/>
    <w:rPr>
      <w:rFonts w:ascii="Arial" w:eastAsia="Times New Roman" w:hAnsi="Arial" w:cs="Times New Roman"/>
      <w:b/>
      <w:sz w:val="24"/>
      <w:szCs w:val="20"/>
      <w:lang w:val="en-GB"/>
    </w:rPr>
  </w:style>
  <w:style w:type="paragraph" w:customStyle="1" w:styleId="BodyText1">
    <w:name w:val="Body Text1"/>
    <w:aliases w:val="OPM,OPM + Left:  1.27 cm,OPM + Bold,Italic,Body text"/>
    <w:basedOn w:val="Normal"/>
    <w:link w:val="BodytextChar"/>
    <w:uiPriority w:val="99"/>
    <w:qFormat/>
    <w:rsid w:val="004864C7"/>
    <w:pPr>
      <w:spacing w:after="240" w:line="240" w:lineRule="auto"/>
      <w:jc w:val="both"/>
    </w:pPr>
    <w:rPr>
      <w:rFonts w:ascii="Arial" w:eastAsia="Times New Roman" w:hAnsi="Arial" w:cs="Times New Roman"/>
      <w:szCs w:val="20"/>
      <w:lang w:val="en-GB"/>
    </w:rPr>
  </w:style>
  <w:style w:type="character" w:customStyle="1" w:styleId="BodytextChar">
    <w:name w:val="Body text Char"/>
    <w:aliases w:val="OPM Char"/>
    <w:link w:val="BodyText1"/>
    <w:uiPriority w:val="99"/>
    <w:locked/>
    <w:rsid w:val="004864C7"/>
    <w:rPr>
      <w:rFonts w:ascii="Arial" w:eastAsia="Times New Roman" w:hAnsi="Arial" w:cs="Times New Roman"/>
      <w:szCs w:val="20"/>
      <w:lang w:val="en-GB"/>
    </w:rPr>
  </w:style>
  <w:style w:type="paragraph" w:customStyle="1" w:styleId="Figure">
    <w:name w:val="Figure"/>
    <w:basedOn w:val="Normal"/>
    <w:next w:val="BodyText1"/>
    <w:uiPriority w:val="99"/>
    <w:rsid w:val="004864C7"/>
    <w:pPr>
      <w:keepNext/>
      <w:numPr>
        <w:ilvl w:val="5"/>
        <w:numId w:val="26"/>
      </w:numPr>
      <w:spacing w:after="240" w:line="240" w:lineRule="auto"/>
      <w:outlineLvl w:val="1"/>
    </w:pPr>
    <w:rPr>
      <w:rFonts w:ascii="Arial" w:eastAsia="Times New Roman" w:hAnsi="Arial" w:cs="Times New Roman"/>
      <w:b/>
      <w:sz w:val="24"/>
      <w:szCs w:val="20"/>
      <w:lang w:val="en-GB"/>
    </w:rPr>
  </w:style>
  <w:style w:type="paragraph" w:customStyle="1" w:styleId="Table">
    <w:name w:val="Table"/>
    <w:basedOn w:val="Normal"/>
    <w:next w:val="BodyText1"/>
    <w:uiPriority w:val="99"/>
    <w:qFormat/>
    <w:rsid w:val="004864C7"/>
    <w:pPr>
      <w:keepNext/>
      <w:numPr>
        <w:ilvl w:val="4"/>
        <w:numId w:val="26"/>
      </w:numPr>
      <w:spacing w:after="240" w:line="240" w:lineRule="auto"/>
      <w:outlineLvl w:val="1"/>
    </w:pPr>
    <w:rPr>
      <w:rFonts w:ascii="Arial" w:eastAsia="Times New Roman" w:hAnsi="Arial" w:cs="Times New Roman"/>
      <w:b/>
      <w:sz w:val="24"/>
      <w:szCs w:val="20"/>
      <w:lang w:val="en-GB"/>
    </w:rPr>
  </w:style>
  <w:style w:type="paragraph" w:customStyle="1" w:styleId="Boxtitle">
    <w:name w:val="Box title"/>
    <w:basedOn w:val="Normal"/>
    <w:next w:val="Normal"/>
    <w:rsid w:val="004864C7"/>
    <w:pPr>
      <w:keepNext/>
      <w:numPr>
        <w:ilvl w:val="6"/>
        <w:numId w:val="26"/>
      </w:numPr>
      <w:spacing w:before="160" w:after="240" w:line="240" w:lineRule="auto"/>
      <w:ind w:right="170"/>
      <w:outlineLvl w:val="1"/>
    </w:pPr>
    <w:rPr>
      <w:rFonts w:ascii="Arial" w:eastAsia="Times New Roman" w:hAnsi="Arial" w:cs="Times New Roman"/>
      <w:b/>
      <w:sz w:val="24"/>
      <w:szCs w:val="20"/>
      <w:lang w:val="en-GB"/>
    </w:rPr>
  </w:style>
  <w:style w:type="paragraph" w:customStyle="1" w:styleId="Section">
    <w:name w:val="Section"/>
    <w:basedOn w:val="Normal"/>
    <w:next w:val="Heading1"/>
    <w:uiPriority w:val="99"/>
    <w:qFormat/>
    <w:rsid w:val="004864C7"/>
    <w:pPr>
      <w:keepNext/>
      <w:pageBreakBefore/>
      <w:numPr>
        <w:numId w:val="26"/>
      </w:numPr>
      <w:spacing w:after="400" w:line="240" w:lineRule="auto"/>
      <w:outlineLvl w:val="0"/>
    </w:pPr>
    <w:rPr>
      <w:rFonts w:ascii="Arial" w:eastAsia="Times New Roman" w:hAnsi="Arial" w:cs="Times New Roman"/>
      <w:b/>
      <w:color w:val="333399"/>
      <w:kern w:val="32"/>
      <w:sz w:val="32"/>
      <w:szCs w:val="20"/>
      <w:lang w:val="en-GB"/>
    </w:rPr>
  </w:style>
  <w:style w:type="paragraph" w:customStyle="1" w:styleId="Aufgang">
    <w:name w:val="Aufgang"/>
    <w:basedOn w:val="Normal"/>
    <w:uiPriority w:val="99"/>
    <w:rsid w:val="00295CA8"/>
    <w:pPr>
      <w:numPr>
        <w:numId w:val="35"/>
      </w:numPr>
      <w:spacing w:before="120" w:after="160" w:line="240" w:lineRule="auto"/>
      <w:jc w:val="both"/>
    </w:pPr>
    <w:rPr>
      <w:rFonts w:ascii="Times New Roman" w:eastAsia="Times New Roman" w:hAnsi="Times New Roman" w:cs="Times New Roman"/>
      <w:sz w:val="24"/>
      <w:szCs w:val="24"/>
    </w:rPr>
  </w:style>
  <w:style w:type="paragraph" w:customStyle="1" w:styleId="WBDocMainPara">
    <w:name w:val="WB Doc Main Para"/>
    <w:basedOn w:val="Normal"/>
    <w:link w:val="WBDocMainParaChar"/>
    <w:qFormat/>
    <w:rsid w:val="006B705F"/>
    <w:pPr>
      <w:numPr>
        <w:numId w:val="40"/>
      </w:numPr>
      <w:tabs>
        <w:tab w:val="left" w:pos="720"/>
      </w:tabs>
      <w:spacing w:after="240" w:line="240" w:lineRule="auto"/>
      <w:jc w:val="both"/>
      <w:outlineLvl w:val="1"/>
    </w:pPr>
    <w:rPr>
      <w:rFonts w:ascii="Times New Roman" w:eastAsia="Times New Roman" w:hAnsi="Times New Roman" w:cs="Times New Roman"/>
      <w:sz w:val="24"/>
      <w:szCs w:val="24"/>
    </w:rPr>
  </w:style>
  <w:style w:type="character" w:customStyle="1" w:styleId="ParaChar">
    <w:name w:val="Para Char"/>
    <w:basedOn w:val="DefaultParagraphFont"/>
    <w:link w:val="Para"/>
    <w:locked/>
    <w:rsid w:val="006B705F"/>
    <w:rPr>
      <w:rFonts w:ascii="Times New Roman" w:eastAsia="Times New Roman" w:hAnsi="Times New Roman" w:cs="Times New Roman"/>
      <w:sz w:val="24"/>
      <w:szCs w:val="24"/>
    </w:rPr>
  </w:style>
  <w:style w:type="paragraph" w:customStyle="1" w:styleId="Para">
    <w:name w:val="Para"/>
    <w:basedOn w:val="WBDocMainPara"/>
    <w:link w:val="ParaChar"/>
    <w:qFormat/>
    <w:rsid w:val="006B705F"/>
    <w:pPr>
      <w:numPr>
        <w:numId w:val="41"/>
      </w:numPr>
    </w:pPr>
  </w:style>
  <w:style w:type="character" w:customStyle="1" w:styleId="WBDocMainParaChar">
    <w:name w:val="WB Doc Main Para Char"/>
    <w:basedOn w:val="DefaultParagraphFont"/>
    <w:link w:val="WBDocMainPara"/>
    <w:locked/>
    <w:rsid w:val="002E7182"/>
    <w:rPr>
      <w:rFonts w:ascii="Times New Roman" w:eastAsia="Times New Roman" w:hAnsi="Times New Roman" w:cs="Times New Roman"/>
      <w:sz w:val="24"/>
      <w:szCs w:val="24"/>
    </w:rPr>
  </w:style>
  <w:style w:type="paragraph" w:customStyle="1" w:styleId="Default">
    <w:name w:val="Default"/>
    <w:rsid w:val="00241A9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TOCHeading">
    <w:name w:val="TOC Heading"/>
    <w:basedOn w:val="Heading1"/>
    <w:next w:val="Normal"/>
    <w:uiPriority w:val="39"/>
    <w:semiHidden/>
    <w:unhideWhenUsed/>
    <w:qFormat/>
    <w:rsid w:val="00554A66"/>
    <w:pPr>
      <w:keepLines/>
      <w:numPr>
        <w:ilvl w:val="0"/>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val="en-US" w:eastAsia="ja-JP"/>
    </w:rPr>
  </w:style>
  <w:style w:type="paragraph" w:customStyle="1" w:styleId="MainParawithChapter">
    <w:name w:val="Main Para with Chapter#"/>
    <w:basedOn w:val="Normal"/>
    <w:rsid w:val="003C1D58"/>
    <w:pPr>
      <w:numPr>
        <w:ilvl w:val="1"/>
        <w:numId w:val="45"/>
      </w:numPr>
      <w:spacing w:after="240" w:line="240" w:lineRule="auto"/>
      <w:jc w:val="both"/>
      <w:outlineLvl w:val="1"/>
    </w:pPr>
    <w:rPr>
      <w:rFonts w:ascii="Times New Roman" w:eastAsia="Times New Roman" w:hAnsi="Times New Roman" w:cs="Times New Roman"/>
      <w:sz w:val="24"/>
      <w:szCs w:val="24"/>
    </w:rPr>
  </w:style>
  <w:style w:type="paragraph" w:customStyle="1" w:styleId="Heading1a">
    <w:name w:val="Heading 1a"/>
    <w:basedOn w:val="Normal"/>
    <w:next w:val="Normal"/>
    <w:rsid w:val="003C1D58"/>
    <w:pPr>
      <w:keepNext/>
      <w:keepLines/>
      <w:numPr>
        <w:numId w:val="45"/>
      </w:numPr>
      <w:spacing w:before="1440" w:after="240" w:line="240" w:lineRule="auto"/>
      <w:jc w:val="center"/>
      <w:outlineLvl w:val="0"/>
    </w:pPr>
    <w:rPr>
      <w:rFonts w:ascii="Times New Roman" w:eastAsia="Times New Roman" w:hAnsi="Times New Roman" w:cs="Times New Roman"/>
      <w:b/>
      <w:caps/>
      <w:sz w:val="32"/>
      <w:szCs w:val="24"/>
    </w:rPr>
  </w:style>
  <w:style w:type="paragraph" w:styleId="CommentSubject">
    <w:name w:val="annotation subject"/>
    <w:basedOn w:val="CommentText"/>
    <w:next w:val="CommentText"/>
    <w:link w:val="CommentSubjectChar"/>
    <w:uiPriority w:val="99"/>
    <w:semiHidden/>
    <w:unhideWhenUsed/>
    <w:rsid w:val="00912A91"/>
    <w:rPr>
      <w:rFonts w:eastAsiaTheme="minorEastAsia"/>
      <w:b/>
      <w:bCs/>
      <w:lang w:val="en-US"/>
    </w:rPr>
  </w:style>
  <w:style w:type="character" w:customStyle="1" w:styleId="CommentSubjectChar">
    <w:name w:val="Comment Subject Char"/>
    <w:basedOn w:val="CommentTextChar"/>
    <w:link w:val="CommentSubject"/>
    <w:uiPriority w:val="99"/>
    <w:semiHidden/>
    <w:rsid w:val="00912A91"/>
    <w:rPr>
      <w:rFonts w:eastAsiaTheme="minorHAns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6888">
      <w:bodyDiv w:val="1"/>
      <w:marLeft w:val="0"/>
      <w:marRight w:val="0"/>
      <w:marTop w:val="0"/>
      <w:marBottom w:val="0"/>
      <w:divBdr>
        <w:top w:val="none" w:sz="0" w:space="0" w:color="auto"/>
        <w:left w:val="none" w:sz="0" w:space="0" w:color="auto"/>
        <w:bottom w:val="none" w:sz="0" w:space="0" w:color="auto"/>
        <w:right w:val="none" w:sz="0" w:space="0" w:color="auto"/>
      </w:divBdr>
    </w:div>
    <w:div w:id="309946043">
      <w:bodyDiv w:val="1"/>
      <w:marLeft w:val="0"/>
      <w:marRight w:val="0"/>
      <w:marTop w:val="0"/>
      <w:marBottom w:val="0"/>
      <w:divBdr>
        <w:top w:val="none" w:sz="0" w:space="0" w:color="auto"/>
        <w:left w:val="none" w:sz="0" w:space="0" w:color="auto"/>
        <w:bottom w:val="none" w:sz="0" w:space="0" w:color="auto"/>
        <w:right w:val="none" w:sz="0" w:space="0" w:color="auto"/>
      </w:divBdr>
    </w:div>
    <w:div w:id="420610909">
      <w:bodyDiv w:val="1"/>
      <w:marLeft w:val="0"/>
      <w:marRight w:val="0"/>
      <w:marTop w:val="0"/>
      <w:marBottom w:val="0"/>
      <w:divBdr>
        <w:top w:val="none" w:sz="0" w:space="0" w:color="auto"/>
        <w:left w:val="none" w:sz="0" w:space="0" w:color="auto"/>
        <w:bottom w:val="none" w:sz="0" w:space="0" w:color="auto"/>
        <w:right w:val="none" w:sz="0" w:space="0" w:color="auto"/>
      </w:divBdr>
    </w:div>
    <w:div w:id="503671195">
      <w:bodyDiv w:val="1"/>
      <w:marLeft w:val="0"/>
      <w:marRight w:val="0"/>
      <w:marTop w:val="0"/>
      <w:marBottom w:val="0"/>
      <w:divBdr>
        <w:top w:val="none" w:sz="0" w:space="0" w:color="auto"/>
        <w:left w:val="none" w:sz="0" w:space="0" w:color="auto"/>
        <w:bottom w:val="none" w:sz="0" w:space="0" w:color="auto"/>
        <w:right w:val="none" w:sz="0" w:space="0" w:color="auto"/>
      </w:divBdr>
    </w:div>
    <w:div w:id="636762344">
      <w:bodyDiv w:val="1"/>
      <w:marLeft w:val="0"/>
      <w:marRight w:val="0"/>
      <w:marTop w:val="0"/>
      <w:marBottom w:val="0"/>
      <w:divBdr>
        <w:top w:val="none" w:sz="0" w:space="0" w:color="auto"/>
        <w:left w:val="none" w:sz="0" w:space="0" w:color="auto"/>
        <w:bottom w:val="none" w:sz="0" w:space="0" w:color="auto"/>
        <w:right w:val="none" w:sz="0" w:space="0" w:color="auto"/>
      </w:divBdr>
    </w:div>
    <w:div w:id="645014670">
      <w:bodyDiv w:val="1"/>
      <w:marLeft w:val="0"/>
      <w:marRight w:val="0"/>
      <w:marTop w:val="0"/>
      <w:marBottom w:val="0"/>
      <w:divBdr>
        <w:top w:val="none" w:sz="0" w:space="0" w:color="auto"/>
        <w:left w:val="none" w:sz="0" w:space="0" w:color="auto"/>
        <w:bottom w:val="none" w:sz="0" w:space="0" w:color="auto"/>
        <w:right w:val="none" w:sz="0" w:space="0" w:color="auto"/>
      </w:divBdr>
    </w:div>
    <w:div w:id="800153868">
      <w:bodyDiv w:val="1"/>
      <w:marLeft w:val="0"/>
      <w:marRight w:val="0"/>
      <w:marTop w:val="0"/>
      <w:marBottom w:val="0"/>
      <w:divBdr>
        <w:top w:val="none" w:sz="0" w:space="0" w:color="auto"/>
        <w:left w:val="none" w:sz="0" w:space="0" w:color="auto"/>
        <w:bottom w:val="none" w:sz="0" w:space="0" w:color="auto"/>
        <w:right w:val="none" w:sz="0" w:space="0" w:color="auto"/>
      </w:divBdr>
    </w:div>
    <w:div w:id="821704258">
      <w:bodyDiv w:val="1"/>
      <w:marLeft w:val="0"/>
      <w:marRight w:val="0"/>
      <w:marTop w:val="0"/>
      <w:marBottom w:val="0"/>
      <w:divBdr>
        <w:top w:val="none" w:sz="0" w:space="0" w:color="auto"/>
        <w:left w:val="none" w:sz="0" w:space="0" w:color="auto"/>
        <w:bottom w:val="none" w:sz="0" w:space="0" w:color="auto"/>
        <w:right w:val="none" w:sz="0" w:space="0" w:color="auto"/>
      </w:divBdr>
    </w:div>
    <w:div w:id="939993408">
      <w:bodyDiv w:val="1"/>
      <w:marLeft w:val="0"/>
      <w:marRight w:val="0"/>
      <w:marTop w:val="0"/>
      <w:marBottom w:val="0"/>
      <w:divBdr>
        <w:top w:val="none" w:sz="0" w:space="0" w:color="auto"/>
        <w:left w:val="none" w:sz="0" w:space="0" w:color="auto"/>
        <w:bottom w:val="none" w:sz="0" w:space="0" w:color="auto"/>
        <w:right w:val="none" w:sz="0" w:space="0" w:color="auto"/>
      </w:divBdr>
    </w:div>
    <w:div w:id="955218508">
      <w:bodyDiv w:val="1"/>
      <w:marLeft w:val="0"/>
      <w:marRight w:val="0"/>
      <w:marTop w:val="0"/>
      <w:marBottom w:val="0"/>
      <w:divBdr>
        <w:top w:val="none" w:sz="0" w:space="0" w:color="auto"/>
        <w:left w:val="none" w:sz="0" w:space="0" w:color="auto"/>
        <w:bottom w:val="none" w:sz="0" w:space="0" w:color="auto"/>
        <w:right w:val="none" w:sz="0" w:space="0" w:color="auto"/>
      </w:divBdr>
    </w:div>
    <w:div w:id="1059328085">
      <w:bodyDiv w:val="1"/>
      <w:marLeft w:val="0"/>
      <w:marRight w:val="0"/>
      <w:marTop w:val="0"/>
      <w:marBottom w:val="0"/>
      <w:divBdr>
        <w:top w:val="none" w:sz="0" w:space="0" w:color="auto"/>
        <w:left w:val="none" w:sz="0" w:space="0" w:color="auto"/>
        <w:bottom w:val="none" w:sz="0" w:space="0" w:color="auto"/>
        <w:right w:val="none" w:sz="0" w:space="0" w:color="auto"/>
      </w:divBdr>
    </w:div>
    <w:div w:id="1355838308">
      <w:bodyDiv w:val="1"/>
      <w:marLeft w:val="0"/>
      <w:marRight w:val="0"/>
      <w:marTop w:val="0"/>
      <w:marBottom w:val="0"/>
      <w:divBdr>
        <w:top w:val="none" w:sz="0" w:space="0" w:color="auto"/>
        <w:left w:val="none" w:sz="0" w:space="0" w:color="auto"/>
        <w:bottom w:val="none" w:sz="0" w:space="0" w:color="auto"/>
        <w:right w:val="none" w:sz="0" w:space="0" w:color="auto"/>
      </w:divBdr>
      <w:divsChild>
        <w:div w:id="1761949703">
          <w:marLeft w:val="1440"/>
          <w:marRight w:val="0"/>
          <w:marTop w:val="96"/>
          <w:marBottom w:val="0"/>
          <w:divBdr>
            <w:top w:val="none" w:sz="0" w:space="0" w:color="auto"/>
            <w:left w:val="none" w:sz="0" w:space="0" w:color="auto"/>
            <w:bottom w:val="none" w:sz="0" w:space="0" w:color="auto"/>
            <w:right w:val="none" w:sz="0" w:space="0" w:color="auto"/>
          </w:divBdr>
        </w:div>
        <w:div w:id="1031955640">
          <w:marLeft w:val="1440"/>
          <w:marRight w:val="0"/>
          <w:marTop w:val="96"/>
          <w:marBottom w:val="0"/>
          <w:divBdr>
            <w:top w:val="none" w:sz="0" w:space="0" w:color="auto"/>
            <w:left w:val="none" w:sz="0" w:space="0" w:color="auto"/>
            <w:bottom w:val="none" w:sz="0" w:space="0" w:color="auto"/>
            <w:right w:val="none" w:sz="0" w:space="0" w:color="auto"/>
          </w:divBdr>
        </w:div>
        <w:div w:id="1389836094">
          <w:marLeft w:val="1440"/>
          <w:marRight w:val="0"/>
          <w:marTop w:val="96"/>
          <w:marBottom w:val="0"/>
          <w:divBdr>
            <w:top w:val="none" w:sz="0" w:space="0" w:color="auto"/>
            <w:left w:val="none" w:sz="0" w:space="0" w:color="auto"/>
            <w:bottom w:val="none" w:sz="0" w:space="0" w:color="auto"/>
            <w:right w:val="none" w:sz="0" w:space="0" w:color="auto"/>
          </w:divBdr>
        </w:div>
      </w:divsChild>
    </w:div>
    <w:div w:id="1503621852">
      <w:bodyDiv w:val="1"/>
      <w:marLeft w:val="0"/>
      <w:marRight w:val="0"/>
      <w:marTop w:val="0"/>
      <w:marBottom w:val="0"/>
      <w:divBdr>
        <w:top w:val="none" w:sz="0" w:space="0" w:color="auto"/>
        <w:left w:val="none" w:sz="0" w:space="0" w:color="auto"/>
        <w:bottom w:val="none" w:sz="0" w:space="0" w:color="auto"/>
        <w:right w:val="none" w:sz="0" w:space="0" w:color="auto"/>
      </w:divBdr>
    </w:div>
    <w:div w:id="1516262434">
      <w:bodyDiv w:val="1"/>
      <w:marLeft w:val="0"/>
      <w:marRight w:val="0"/>
      <w:marTop w:val="0"/>
      <w:marBottom w:val="0"/>
      <w:divBdr>
        <w:top w:val="none" w:sz="0" w:space="0" w:color="auto"/>
        <w:left w:val="none" w:sz="0" w:space="0" w:color="auto"/>
        <w:bottom w:val="none" w:sz="0" w:space="0" w:color="auto"/>
        <w:right w:val="none" w:sz="0" w:space="0" w:color="auto"/>
      </w:divBdr>
    </w:div>
    <w:div w:id="1724214341">
      <w:bodyDiv w:val="1"/>
      <w:marLeft w:val="0"/>
      <w:marRight w:val="0"/>
      <w:marTop w:val="0"/>
      <w:marBottom w:val="0"/>
      <w:divBdr>
        <w:top w:val="none" w:sz="0" w:space="0" w:color="auto"/>
        <w:left w:val="none" w:sz="0" w:space="0" w:color="auto"/>
        <w:bottom w:val="none" w:sz="0" w:space="0" w:color="auto"/>
        <w:right w:val="none" w:sz="0" w:space="0" w:color="auto"/>
      </w:divBdr>
    </w:div>
    <w:div w:id="1744180325">
      <w:bodyDiv w:val="1"/>
      <w:marLeft w:val="0"/>
      <w:marRight w:val="0"/>
      <w:marTop w:val="0"/>
      <w:marBottom w:val="0"/>
      <w:divBdr>
        <w:top w:val="none" w:sz="0" w:space="0" w:color="auto"/>
        <w:left w:val="none" w:sz="0" w:space="0" w:color="auto"/>
        <w:bottom w:val="none" w:sz="0" w:space="0" w:color="auto"/>
        <w:right w:val="none" w:sz="0" w:space="0" w:color="auto"/>
      </w:divBdr>
    </w:div>
    <w:div w:id="1765878387">
      <w:bodyDiv w:val="1"/>
      <w:marLeft w:val="0"/>
      <w:marRight w:val="0"/>
      <w:marTop w:val="0"/>
      <w:marBottom w:val="0"/>
      <w:divBdr>
        <w:top w:val="none" w:sz="0" w:space="0" w:color="auto"/>
        <w:left w:val="none" w:sz="0" w:space="0" w:color="auto"/>
        <w:bottom w:val="none" w:sz="0" w:space="0" w:color="auto"/>
        <w:right w:val="none" w:sz="0" w:space="0" w:color="auto"/>
      </w:divBdr>
    </w:div>
    <w:div w:id="1853301368">
      <w:bodyDiv w:val="1"/>
      <w:marLeft w:val="0"/>
      <w:marRight w:val="0"/>
      <w:marTop w:val="0"/>
      <w:marBottom w:val="0"/>
      <w:divBdr>
        <w:top w:val="none" w:sz="0" w:space="0" w:color="auto"/>
        <w:left w:val="none" w:sz="0" w:space="0" w:color="auto"/>
        <w:bottom w:val="none" w:sz="0" w:space="0" w:color="auto"/>
        <w:right w:val="none" w:sz="0" w:space="0" w:color="auto"/>
      </w:divBdr>
    </w:div>
    <w:div w:id="1863208022">
      <w:bodyDiv w:val="1"/>
      <w:marLeft w:val="0"/>
      <w:marRight w:val="0"/>
      <w:marTop w:val="0"/>
      <w:marBottom w:val="0"/>
      <w:divBdr>
        <w:top w:val="none" w:sz="0" w:space="0" w:color="auto"/>
        <w:left w:val="none" w:sz="0" w:space="0" w:color="auto"/>
        <w:bottom w:val="none" w:sz="0" w:space="0" w:color="auto"/>
        <w:right w:val="none" w:sz="0" w:space="0" w:color="auto"/>
      </w:divBdr>
    </w:div>
    <w:div w:id="1873154280">
      <w:bodyDiv w:val="1"/>
      <w:marLeft w:val="0"/>
      <w:marRight w:val="0"/>
      <w:marTop w:val="0"/>
      <w:marBottom w:val="0"/>
      <w:divBdr>
        <w:top w:val="none" w:sz="0" w:space="0" w:color="auto"/>
        <w:left w:val="none" w:sz="0" w:space="0" w:color="auto"/>
        <w:bottom w:val="none" w:sz="0" w:space="0" w:color="auto"/>
        <w:right w:val="none" w:sz="0" w:space="0" w:color="auto"/>
      </w:divBdr>
    </w:div>
    <w:div w:id="19299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3.emf"/><Relationship Id="rId32" Type="http://schemas.openxmlformats.org/officeDocument/2006/relationships/image" Target="media/image20.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header" Target="header2.xml"/><Relationship Id="rId19" Type="http://schemas.openxmlformats.org/officeDocument/2006/relationships/image" Target="media/image8.emf"/><Relationship Id="rId31"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WBMS4TZ\TZ-Private\WB444523\Home\PER\2013%20Studies\RBA%202013\LGAs\Data\2013%20LGAS%20%20RBA%20VC\LGA%20Approved%20Budget%20Recurrent%20Equity%20Analysis%20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Average agriculture allocation per person</c:v>
          </c:tx>
          <c:marker>
            <c:symbol val="none"/>
          </c:marker>
          <c:val>
            <c:numRef>
              <c:f>Agriculture!$C$22:$C$158</c:f>
              <c:numCache>
                <c:formatCode>#,##0</c:formatCode>
                <c:ptCount val="137"/>
                <c:pt idx="0">
                  <c:v>74.316290130796673</c:v>
                </c:pt>
                <c:pt idx="1">
                  <c:v>100.26475887558976</c:v>
                </c:pt>
                <c:pt idx="2">
                  <c:v>107.22505833724902</c:v>
                </c:pt>
                <c:pt idx="3">
                  <c:v>120.05147807379805</c:v>
                </c:pt>
                <c:pt idx="4">
                  <c:v>139.61278572625818</c:v>
                </c:pt>
                <c:pt idx="5">
                  <c:v>143.26978195001749</c:v>
                </c:pt>
                <c:pt idx="6">
                  <c:v>145.78180956481398</c:v>
                </c:pt>
                <c:pt idx="7">
                  <c:v>148.88661138544674</c:v>
                </c:pt>
                <c:pt idx="8">
                  <c:v>152.37300141671727</c:v>
                </c:pt>
                <c:pt idx="9">
                  <c:v>154.03715821453611</c:v>
                </c:pt>
                <c:pt idx="10">
                  <c:v>157.27355374017262</c:v>
                </c:pt>
                <c:pt idx="11">
                  <c:v>169.74198116683596</c:v>
                </c:pt>
                <c:pt idx="12">
                  <c:v>183.45374650065412</c:v>
                </c:pt>
                <c:pt idx="13">
                  <c:v>200.89821162387005</c:v>
                </c:pt>
                <c:pt idx="14">
                  <c:v>235.88636427154077</c:v>
                </c:pt>
                <c:pt idx="15">
                  <c:v>236.41393103837609</c:v>
                </c:pt>
                <c:pt idx="16">
                  <c:v>249.09628239114167</c:v>
                </c:pt>
                <c:pt idx="17">
                  <c:v>264.31653817853993</c:v>
                </c:pt>
                <c:pt idx="18">
                  <c:v>275.50380683856389</c:v>
                </c:pt>
                <c:pt idx="19">
                  <c:v>286.82774746687454</c:v>
                </c:pt>
                <c:pt idx="20">
                  <c:v>311.8157510830477</c:v>
                </c:pt>
                <c:pt idx="21">
                  <c:v>325.81356597103763</c:v>
                </c:pt>
                <c:pt idx="22">
                  <c:v>338.73825382941982</c:v>
                </c:pt>
                <c:pt idx="23">
                  <c:v>404.99891286879745</c:v>
                </c:pt>
                <c:pt idx="24">
                  <c:v>527.4184621061479</c:v>
                </c:pt>
                <c:pt idx="25">
                  <c:v>548.7634425866554</c:v>
                </c:pt>
                <c:pt idx="26">
                  <c:v>595.28551365214162</c:v>
                </c:pt>
                <c:pt idx="27">
                  <c:v>633.48944633348299</c:v>
                </c:pt>
                <c:pt idx="28">
                  <c:v>652.19631807348946</c:v>
                </c:pt>
                <c:pt idx="29">
                  <c:v>686.82421351656353</c:v>
                </c:pt>
                <c:pt idx="30">
                  <c:v>852.48439508922718</c:v>
                </c:pt>
                <c:pt idx="31">
                  <c:v>1036.892745257333</c:v>
                </c:pt>
                <c:pt idx="32">
                  <c:v>1062.3928795572544</c:v>
                </c:pt>
                <c:pt idx="33">
                  <c:v>1182.0898025936449</c:v>
                </c:pt>
                <c:pt idx="34">
                  <c:v>1247.2529229326312</c:v>
                </c:pt>
                <c:pt idx="35">
                  <c:v>1324.1002886873544</c:v>
                </c:pt>
                <c:pt idx="36">
                  <c:v>1348.6315195450698</c:v>
                </c:pt>
                <c:pt idx="37">
                  <c:v>1427.4911808662252</c:v>
                </c:pt>
                <c:pt idx="38">
                  <c:v>1474.1569505614821</c:v>
                </c:pt>
                <c:pt idx="39">
                  <c:v>1498.1130368231156</c:v>
                </c:pt>
                <c:pt idx="40">
                  <c:v>1512.5207499771493</c:v>
                </c:pt>
                <c:pt idx="41">
                  <c:v>1574.1575846789153</c:v>
                </c:pt>
                <c:pt idx="42">
                  <c:v>1624.7472637246003</c:v>
                </c:pt>
                <c:pt idx="43">
                  <c:v>1645.0804287235953</c:v>
                </c:pt>
                <c:pt idx="44">
                  <c:v>1672.1019365250133</c:v>
                </c:pt>
                <c:pt idx="45">
                  <c:v>1717.812848660408</c:v>
                </c:pt>
                <c:pt idx="46">
                  <c:v>1730.3770057929707</c:v>
                </c:pt>
                <c:pt idx="47">
                  <c:v>1876.0184812407738</c:v>
                </c:pt>
                <c:pt idx="48">
                  <c:v>1920.2461223265705</c:v>
                </c:pt>
                <c:pt idx="49">
                  <c:v>1922.1431882755462</c:v>
                </c:pt>
                <c:pt idx="50">
                  <c:v>1924.4073204686563</c:v>
                </c:pt>
                <c:pt idx="51">
                  <c:v>2043.1464908148846</c:v>
                </c:pt>
                <c:pt idx="52">
                  <c:v>2115.877966661847</c:v>
                </c:pt>
                <c:pt idx="53">
                  <c:v>2126.4366380561946</c:v>
                </c:pt>
                <c:pt idx="54">
                  <c:v>2176.2595394628165</c:v>
                </c:pt>
                <c:pt idx="55">
                  <c:v>2187.1870407437209</c:v>
                </c:pt>
                <c:pt idx="56">
                  <c:v>2208.1541980153474</c:v>
                </c:pt>
                <c:pt idx="57">
                  <c:v>2210.4373177842567</c:v>
                </c:pt>
                <c:pt idx="58">
                  <c:v>2219.1624987741493</c:v>
                </c:pt>
                <c:pt idx="59">
                  <c:v>2241.8466332391508</c:v>
                </c:pt>
                <c:pt idx="60">
                  <c:v>2267.1960894172289</c:v>
                </c:pt>
                <c:pt idx="61">
                  <c:v>2277.2480371440597</c:v>
                </c:pt>
                <c:pt idx="62">
                  <c:v>2304.6746019346965</c:v>
                </c:pt>
                <c:pt idx="63">
                  <c:v>2393.2894736842104</c:v>
                </c:pt>
                <c:pt idx="64">
                  <c:v>2409.5391743602104</c:v>
                </c:pt>
                <c:pt idx="65">
                  <c:v>2415.6682130805348</c:v>
                </c:pt>
                <c:pt idx="66">
                  <c:v>2456.0209349215656</c:v>
                </c:pt>
                <c:pt idx="67">
                  <c:v>2514.0976684797724</c:v>
                </c:pt>
                <c:pt idx="68">
                  <c:v>2514.9677954154226</c:v>
                </c:pt>
                <c:pt idx="69">
                  <c:v>2520.496871706458</c:v>
                </c:pt>
                <c:pt idx="70">
                  <c:v>2529.7830549962496</c:v>
                </c:pt>
                <c:pt idx="71">
                  <c:v>2532.150892751411</c:v>
                </c:pt>
                <c:pt idx="72">
                  <c:v>2544.4430124156893</c:v>
                </c:pt>
                <c:pt idx="73">
                  <c:v>2551.6227192000092</c:v>
                </c:pt>
                <c:pt idx="74">
                  <c:v>2559.1463950118555</c:v>
                </c:pt>
                <c:pt idx="75">
                  <c:v>2559.6803487104976</c:v>
                </c:pt>
                <c:pt idx="76">
                  <c:v>2569.8022699365383</c:v>
                </c:pt>
                <c:pt idx="77">
                  <c:v>2581.907762189091</c:v>
                </c:pt>
                <c:pt idx="78">
                  <c:v>2617.8212908028604</c:v>
                </c:pt>
                <c:pt idx="79">
                  <c:v>2681.8659607186655</c:v>
                </c:pt>
                <c:pt idx="80">
                  <c:v>2685.3528532466171</c:v>
                </c:pt>
                <c:pt idx="81">
                  <c:v>2714.9792191864822</c:v>
                </c:pt>
                <c:pt idx="82">
                  <c:v>2743.3324837969758</c:v>
                </c:pt>
                <c:pt idx="83">
                  <c:v>2749.0890199464388</c:v>
                </c:pt>
                <c:pt idx="84">
                  <c:v>2769.9126448631682</c:v>
                </c:pt>
                <c:pt idx="85">
                  <c:v>2847.9006920656229</c:v>
                </c:pt>
                <c:pt idx="86">
                  <c:v>2873.3633843483872</c:v>
                </c:pt>
                <c:pt idx="87">
                  <c:v>2894.0534205169329</c:v>
                </c:pt>
                <c:pt idx="88">
                  <c:v>2916.8933816605677</c:v>
                </c:pt>
                <c:pt idx="89">
                  <c:v>2997.8362148981828</c:v>
                </c:pt>
                <c:pt idx="90">
                  <c:v>3003.0842112110695</c:v>
                </c:pt>
                <c:pt idx="91">
                  <c:v>3064.6900809878921</c:v>
                </c:pt>
                <c:pt idx="92">
                  <c:v>3081.8321368910561</c:v>
                </c:pt>
                <c:pt idx="93">
                  <c:v>3089.5057085501167</c:v>
                </c:pt>
                <c:pt idx="94">
                  <c:v>3098.8645262333594</c:v>
                </c:pt>
                <c:pt idx="95">
                  <c:v>3133.242963773972</c:v>
                </c:pt>
                <c:pt idx="96">
                  <c:v>3175.6403332928076</c:v>
                </c:pt>
                <c:pt idx="97">
                  <c:v>3237.7868806090837</c:v>
                </c:pt>
                <c:pt idx="98">
                  <c:v>3307.514494964907</c:v>
                </c:pt>
                <c:pt idx="99">
                  <c:v>3419.952178767021</c:v>
                </c:pt>
                <c:pt idx="100">
                  <c:v>3441.521729427343</c:v>
                </c:pt>
                <c:pt idx="101">
                  <c:v>3450.6014486746622</c:v>
                </c:pt>
                <c:pt idx="102">
                  <c:v>3483.0586580094723</c:v>
                </c:pt>
                <c:pt idx="103">
                  <c:v>3497.7914012853971</c:v>
                </c:pt>
                <c:pt idx="104">
                  <c:v>3515.7787852606639</c:v>
                </c:pt>
                <c:pt idx="105">
                  <c:v>3585.3424316013998</c:v>
                </c:pt>
                <c:pt idx="106">
                  <c:v>3705.4978282556031</c:v>
                </c:pt>
                <c:pt idx="107">
                  <c:v>3707.6164980867916</c:v>
                </c:pt>
                <c:pt idx="108">
                  <c:v>3723.2163262542217</c:v>
                </c:pt>
                <c:pt idx="109">
                  <c:v>3733.4937881080091</c:v>
                </c:pt>
                <c:pt idx="110">
                  <c:v>3740.7911170981474</c:v>
                </c:pt>
                <c:pt idx="111">
                  <c:v>3787.1390016646706</c:v>
                </c:pt>
                <c:pt idx="112">
                  <c:v>3890.9625419253139</c:v>
                </c:pt>
                <c:pt idx="113">
                  <c:v>3977.7957933612574</c:v>
                </c:pt>
                <c:pt idx="114">
                  <c:v>4009.1853630884898</c:v>
                </c:pt>
                <c:pt idx="115">
                  <c:v>4146.5814795055885</c:v>
                </c:pt>
                <c:pt idx="116">
                  <c:v>4219.5426938192213</c:v>
                </c:pt>
                <c:pt idx="117">
                  <c:v>4223.647344499097</c:v>
                </c:pt>
                <c:pt idx="118">
                  <c:v>4283.4208798424161</c:v>
                </c:pt>
                <c:pt idx="119">
                  <c:v>4388.5412320956748</c:v>
                </c:pt>
                <c:pt idx="120">
                  <c:v>4391.7392803003631</c:v>
                </c:pt>
                <c:pt idx="121">
                  <c:v>4453.1865915011849</c:v>
                </c:pt>
                <c:pt idx="122">
                  <c:v>4503.6339193275062</c:v>
                </c:pt>
                <c:pt idx="123">
                  <c:v>4534.1567618244626</c:v>
                </c:pt>
                <c:pt idx="124">
                  <c:v>4656.6381517386826</c:v>
                </c:pt>
                <c:pt idx="125">
                  <c:v>4738.925517245897</c:v>
                </c:pt>
                <c:pt idx="126">
                  <c:v>4882.8419867082785</c:v>
                </c:pt>
                <c:pt idx="127">
                  <c:v>5004.8224355745106</c:v>
                </c:pt>
                <c:pt idx="128">
                  <c:v>5227.1603577502046</c:v>
                </c:pt>
                <c:pt idx="129">
                  <c:v>5488.862007577487</c:v>
                </c:pt>
                <c:pt idx="130">
                  <c:v>5741.6677254054966</c:v>
                </c:pt>
                <c:pt idx="131">
                  <c:v>6247.3355975873983</c:v>
                </c:pt>
                <c:pt idx="132">
                  <c:v>6367.629958223868</c:v>
                </c:pt>
                <c:pt idx="133">
                  <c:v>7075.9648310967141</c:v>
                </c:pt>
                <c:pt idx="134">
                  <c:v>9411.477952581432</c:v>
                </c:pt>
                <c:pt idx="135">
                  <c:v>9737.2416641741092</c:v>
                </c:pt>
                <c:pt idx="136">
                  <c:v>9868.4915057383023</c:v>
                </c:pt>
              </c:numCache>
            </c:numRef>
          </c:val>
          <c:smooth val="0"/>
        </c:ser>
        <c:ser>
          <c:idx val="1"/>
          <c:order val="1"/>
          <c:tx>
            <c:strRef>
              <c:f>Education!$C$2</c:f>
              <c:strCache>
                <c:ptCount val="1"/>
                <c:pt idx="0">
                  <c:v>Average Education Allocation per Person (Tsh)</c:v>
                </c:pt>
              </c:strCache>
            </c:strRef>
          </c:tx>
          <c:marker>
            <c:symbol val="none"/>
          </c:marker>
          <c:val>
            <c:numRef>
              <c:f>Education!$C$22:$C$158</c:f>
              <c:numCache>
                <c:formatCode>#,##0</c:formatCode>
                <c:ptCount val="137"/>
                <c:pt idx="0">
                  <c:v>1432.4587355963874</c:v>
                </c:pt>
                <c:pt idx="1">
                  <c:v>1993.2863204936348</c:v>
                </c:pt>
                <c:pt idx="2">
                  <c:v>4234.626865671642</c:v>
                </c:pt>
                <c:pt idx="3">
                  <c:v>4947.4914367977763</c:v>
                </c:pt>
                <c:pt idx="4">
                  <c:v>9286.9300572102147</c:v>
                </c:pt>
                <c:pt idx="5">
                  <c:v>21496.448068849964</c:v>
                </c:pt>
                <c:pt idx="6">
                  <c:v>21899.234239324112</c:v>
                </c:pt>
                <c:pt idx="7">
                  <c:v>22185.177302690081</c:v>
                </c:pt>
                <c:pt idx="8">
                  <c:v>23452.143420590361</c:v>
                </c:pt>
                <c:pt idx="9">
                  <c:v>27872.900410073187</c:v>
                </c:pt>
                <c:pt idx="10">
                  <c:v>28459.138695543479</c:v>
                </c:pt>
                <c:pt idx="11">
                  <c:v>28621.599686167021</c:v>
                </c:pt>
                <c:pt idx="12">
                  <c:v>28667.170749052802</c:v>
                </c:pt>
                <c:pt idx="13">
                  <c:v>28742.971627399085</c:v>
                </c:pt>
                <c:pt idx="14">
                  <c:v>29772.164205879049</c:v>
                </c:pt>
                <c:pt idx="15">
                  <c:v>30008.726884779517</c:v>
                </c:pt>
                <c:pt idx="16">
                  <c:v>30787.985627002992</c:v>
                </c:pt>
                <c:pt idx="17">
                  <c:v>31056.411000507847</c:v>
                </c:pt>
                <c:pt idx="18">
                  <c:v>31078.892667425913</c:v>
                </c:pt>
                <c:pt idx="19">
                  <c:v>32161.755429395333</c:v>
                </c:pt>
                <c:pt idx="20">
                  <c:v>32654.320315359877</c:v>
                </c:pt>
                <c:pt idx="21">
                  <c:v>32891.359637063513</c:v>
                </c:pt>
                <c:pt idx="22">
                  <c:v>33204.845117358287</c:v>
                </c:pt>
                <c:pt idx="23">
                  <c:v>33358.178680294062</c:v>
                </c:pt>
                <c:pt idx="24">
                  <c:v>33773.956767495627</c:v>
                </c:pt>
                <c:pt idx="25">
                  <c:v>33950.654225762642</c:v>
                </c:pt>
                <c:pt idx="26">
                  <c:v>34156.43935121478</c:v>
                </c:pt>
                <c:pt idx="27">
                  <c:v>34206.078395401455</c:v>
                </c:pt>
                <c:pt idx="28">
                  <c:v>35032.614595983054</c:v>
                </c:pt>
                <c:pt idx="29">
                  <c:v>35043.266341125003</c:v>
                </c:pt>
                <c:pt idx="30">
                  <c:v>35600.015972474102</c:v>
                </c:pt>
                <c:pt idx="31">
                  <c:v>35944.036052449796</c:v>
                </c:pt>
                <c:pt idx="32">
                  <c:v>36490.362819852846</c:v>
                </c:pt>
                <c:pt idx="33">
                  <c:v>37048.859136940431</c:v>
                </c:pt>
                <c:pt idx="34">
                  <c:v>37122.85586163956</c:v>
                </c:pt>
                <c:pt idx="35">
                  <c:v>37707.339812894672</c:v>
                </c:pt>
                <c:pt idx="36">
                  <c:v>37831.026777537641</c:v>
                </c:pt>
                <c:pt idx="37">
                  <c:v>37912.301756952351</c:v>
                </c:pt>
                <c:pt idx="38">
                  <c:v>38359.899903295984</c:v>
                </c:pt>
                <c:pt idx="39">
                  <c:v>39696.444605884491</c:v>
                </c:pt>
                <c:pt idx="40">
                  <c:v>40058.56103869497</c:v>
                </c:pt>
                <c:pt idx="41">
                  <c:v>40297.121151673433</c:v>
                </c:pt>
                <c:pt idx="42">
                  <c:v>40479.609911821382</c:v>
                </c:pt>
                <c:pt idx="43">
                  <c:v>40976.705895188927</c:v>
                </c:pt>
                <c:pt idx="44">
                  <c:v>41302.551007028218</c:v>
                </c:pt>
                <c:pt idx="45">
                  <c:v>41424.725358559655</c:v>
                </c:pt>
                <c:pt idx="46">
                  <c:v>41758.033065302399</c:v>
                </c:pt>
                <c:pt idx="47">
                  <c:v>41869.394388449604</c:v>
                </c:pt>
                <c:pt idx="48">
                  <c:v>42065.14372516943</c:v>
                </c:pt>
                <c:pt idx="49">
                  <c:v>42268.901791846161</c:v>
                </c:pt>
                <c:pt idx="50">
                  <c:v>42939.287146179136</c:v>
                </c:pt>
                <c:pt idx="51">
                  <c:v>43528.209277238406</c:v>
                </c:pt>
                <c:pt idx="52">
                  <c:v>44316.040436247691</c:v>
                </c:pt>
                <c:pt idx="53">
                  <c:v>45809.212866799026</c:v>
                </c:pt>
                <c:pt idx="54">
                  <c:v>45879.953882850015</c:v>
                </c:pt>
                <c:pt idx="55">
                  <c:v>46032.920284040272</c:v>
                </c:pt>
                <c:pt idx="56">
                  <c:v>46492.78580611595</c:v>
                </c:pt>
                <c:pt idx="57">
                  <c:v>46505.200438333566</c:v>
                </c:pt>
                <c:pt idx="58">
                  <c:v>46717.396542376962</c:v>
                </c:pt>
                <c:pt idx="59">
                  <c:v>46718.588376959218</c:v>
                </c:pt>
                <c:pt idx="60">
                  <c:v>46919.829284307285</c:v>
                </c:pt>
                <c:pt idx="61">
                  <c:v>47056.730180802217</c:v>
                </c:pt>
                <c:pt idx="62">
                  <c:v>47559.273776585338</c:v>
                </c:pt>
                <c:pt idx="63">
                  <c:v>48088.522837706514</c:v>
                </c:pt>
                <c:pt idx="64">
                  <c:v>48712.669510723528</c:v>
                </c:pt>
                <c:pt idx="65">
                  <c:v>49761.055645120476</c:v>
                </c:pt>
                <c:pt idx="66">
                  <c:v>49871.292780959629</c:v>
                </c:pt>
                <c:pt idx="67">
                  <c:v>50048.813940002023</c:v>
                </c:pt>
                <c:pt idx="68">
                  <c:v>50199.256254831213</c:v>
                </c:pt>
                <c:pt idx="69">
                  <c:v>50217.208266277295</c:v>
                </c:pt>
                <c:pt idx="70">
                  <c:v>50522.809800205447</c:v>
                </c:pt>
                <c:pt idx="71">
                  <c:v>50620.068190910177</c:v>
                </c:pt>
                <c:pt idx="72">
                  <c:v>50628.941720323593</c:v>
                </c:pt>
                <c:pt idx="73">
                  <c:v>51208.310265330234</c:v>
                </c:pt>
                <c:pt idx="74">
                  <c:v>51423.341075618278</c:v>
                </c:pt>
                <c:pt idx="75">
                  <c:v>51711.975445564982</c:v>
                </c:pt>
                <c:pt idx="76">
                  <c:v>52505.308151849924</c:v>
                </c:pt>
                <c:pt idx="77">
                  <c:v>52904.87442449636</c:v>
                </c:pt>
                <c:pt idx="78">
                  <c:v>53500.952864947278</c:v>
                </c:pt>
                <c:pt idx="79">
                  <c:v>53621.08381342244</c:v>
                </c:pt>
                <c:pt idx="80">
                  <c:v>53965.493237295836</c:v>
                </c:pt>
                <c:pt idx="81">
                  <c:v>54059.639443125685</c:v>
                </c:pt>
                <c:pt idx="82">
                  <c:v>54074.700747418268</c:v>
                </c:pt>
                <c:pt idx="83">
                  <c:v>54158.707734632044</c:v>
                </c:pt>
                <c:pt idx="84">
                  <c:v>55113.810237592348</c:v>
                </c:pt>
                <c:pt idx="85">
                  <c:v>55467.014565728969</c:v>
                </c:pt>
                <c:pt idx="86">
                  <c:v>55644.447057221885</c:v>
                </c:pt>
                <c:pt idx="87">
                  <c:v>56197.015567761089</c:v>
                </c:pt>
                <c:pt idx="88">
                  <c:v>56200.146701508274</c:v>
                </c:pt>
                <c:pt idx="89">
                  <c:v>56475.077814798395</c:v>
                </c:pt>
                <c:pt idx="90">
                  <c:v>57691.827857473392</c:v>
                </c:pt>
                <c:pt idx="91">
                  <c:v>58010.943975265087</c:v>
                </c:pt>
                <c:pt idx="92">
                  <c:v>59316.420280889019</c:v>
                </c:pt>
                <c:pt idx="93">
                  <c:v>59728.638207636541</c:v>
                </c:pt>
                <c:pt idx="94">
                  <c:v>59788.300105790993</c:v>
                </c:pt>
                <c:pt idx="95">
                  <c:v>60002.030800473854</c:v>
                </c:pt>
                <c:pt idx="96">
                  <c:v>60202.592688061173</c:v>
                </c:pt>
                <c:pt idx="97">
                  <c:v>60473.00381999441</c:v>
                </c:pt>
                <c:pt idx="98">
                  <c:v>61185.714930696646</c:v>
                </c:pt>
                <c:pt idx="99">
                  <c:v>61411.523384656044</c:v>
                </c:pt>
                <c:pt idx="100">
                  <c:v>62721.435031655114</c:v>
                </c:pt>
                <c:pt idx="101">
                  <c:v>62766.706471986538</c:v>
                </c:pt>
                <c:pt idx="102">
                  <c:v>62795.124836560615</c:v>
                </c:pt>
                <c:pt idx="103">
                  <c:v>63686.917721224374</c:v>
                </c:pt>
                <c:pt idx="104">
                  <c:v>63815.945352193914</c:v>
                </c:pt>
                <c:pt idx="105">
                  <c:v>64537.328358274703</c:v>
                </c:pt>
                <c:pt idx="106">
                  <c:v>65821.451628141338</c:v>
                </c:pt>
                <c:pt idx="107">
                  <c:v>65839.235625233487</c:v>
                </c:pt>
                <c:pt idx="108">
                  <c:v>66106.425048761696</c:v>
                </c:pt>
                <c:pt idx="109">
                  <c:v>66361.209079068678</c:v>
                </c:pt>
                <c:pt idx="110">
                  <c:v>66365.616068238654</c:v>
                </c:pt>
                <c:pt idx="111">
                  <c:v>66489.79826320296</c:v>
                </c:pt>
                <c:pt idx="112">
                  <c:v>67239.050410149473</c:v>
                </c:pt>
                <c:pt idx="113">
                  <c:v>67452.673647830423</c:v>
                </c:pt>
                <c:pt idx="114">
                  <c:v>67872.937675278954</c:v>
                </c:pt>
                <c:pt idx="115">
                  <c:v>68221.574220634662</c:v>
                </c:pt>
                <c:pt idx="116">
                  <c:v>68392.017741922522</c:v>
                </c:pt>
                <c:pt idx="117">
                  <c:v>69394.183238321959</c:v>
                </c:pt>
                <c:pt idx="118">
                  <c:v>70598.500202675321</c:v>
                </c:pt>
                <c:pt idx="119">
                  <c:v>70741.215378255481</c:v>
                </c:pt>
                <c:pt idx="120">
                  <c:v>70840.681454311722</c:v>
                </c:pt>
                <c:pt idx="121">
                  <c:v>70879.319616829176</c:v>
                </c:pt>
                <c:pt idx="122">
                  <c:v>71458.40596515208</c:v>
                </c:pt>
                <c:pt idx="123">
                  <c:v>74170.147675839966</c:v>
                </c:pt>
                <c:pt idx="124">
                  <c:v>74626.060816530284</c:v>
                </c:pt>
                <c:pt idx="125">
                  <c:v>75660.998749876802</c:v>
                </c:pt>
                <c:pt idx="126">
                  <c:v>76543.067464478852</c:v>
                </c:pt>
                <c:pt idx="127">
                  <c:v>79204.295830543502</c:v>
                </c:pt>
                <c:pt idx="128">
                  <c:v>79854.643398575776</c:v>
                </c:pt>
                <c:pt idx="129">
                  <c:v>80260.364632575729</c:v>
                </c:pt>
                <c:pt idx="130">
                  <c:v>82048.149081956522</c:v>
                </c:pt>
                <c:pt idx="131">
                  <c:v>84448.607054063512</c:v>
                </c:pt>
                <c:pt idx="132">
                  <c:v>90831.54547252781</c:v>
                </c:pt>
                <c:pt idx="133">
                  <c:v>91861.883804070705</c:v>
                </c:pt>
                <c:pt idx="134">
                  <c:v>94733.852550213735</c:v>
                </c:pt>
                <c:pt idx="135">
                  <c:v>102877.22308192603</c:v>
                </c:pt>
                <c:pt idx="136">
                  <c:v>214322.3553010601</c:v>
                </c:pt>
              </c:numCache>
            </c:numRef>
          </c:val>
          <c:smooth val="0"/>
        </c:ser>
        <c:ser>
          <c:idx val="2"/>
          <c:order val="2"/>
          <c:tx>
            <c:strRef>
              <c:f>Health!$C$2</c:f>
              <c:strCache>
                <c:ptCount val="1"/>
                <c:pt idx="0">
                  <c:v>Average Health Allocation per Person</c:v>
                </c:pt>
              </c:strCache>
            </c:strRef>
          </c:tx>
          <c:marker>
            <c:symbol val="none"/>
          </c:marker>
          <c:val>
            <c:numRef>
              <c:f>Health!$C$22:$C$158</c:f>
              <c:numCache>
                <c:formatCode>#,##0</c:formatCode>
                <c:ptCount val="137"/>
                <c:pt idx="0">
                  <c:v>585.1801254806719</c:v>
                </c:pt>
                <c:pt idx="1">
                  <c:v>662.33841071051268</c:v>
                </c:pt>
                <c:pt idx="2">
                  <c:v>742.89453692693883</c:v>
                </c:pt>
                <c:pt idx="3">
                  <c:v>1212.8976928670972</c:v>
                </c:pt>
                <c:pt idx="4">
                  <c:v>1406.2749841126667</c:v>
                </c:pt>
                <c:pt idx="5">
                  <c:v>4125.0559491598551</c:v>
                </c:pt>
                <c:pt idx="6">
                  <c:v>4140.2898336140361</c:v>
                </c:pt>
                <c:pt idx="7">
                  <c:v>4161.9791160860186</c:v>
                </c:pt>
                <c:pt idx="8">
                  <c:v>4297.3927189716651</c:v>
                </c:pt>
                <c:pt idx="9">
                  <c:v>4576.5889212827988</c:v>
                </c:pt>
                <c:pt idx="10">
                  <c:v>4604.1051105819388</c:v>
                </c:pt>
                <c:pt idx="11">
                  <c:v>4798.8748241912799</c:v>
                </c:pt>
                <c:pt idx="12">
                  <c:v>5210.5718158174295</c:v>
                </c:pt>
                <c:pt idx="13">
                  <c:v>5473.5881707579147</c:v>
                </c:pt>
                <c:pt idx="14">
                  <c:v>5576.5719872811378</c:v>
                </c:pt>
                <c:pt idx="15">
                  <c:v>5654.3219799311255</c:v>
                </c:pt>
                <c:pt idx="16">
                  <c:v>5732.5763941426421</c:v>
                </c:pt>
                <c:pt idx="17">
                  <c:v>5953.1934566145092</c:v>
                </c:pt>
                <c:pt idx="18">
                  <c:v>6049.669516569289</c:v>
                </c:pt>
                <c:pt idx="19">
                  <c:v>6168.2136313117662</c:v>
                </c:pt>
                <c:pt idx="20">
                  <c:v>6172.9709752031204</c:v>
                </c:pt>
                <c:pt idx="21">
                  <c:v>6264.0694142381835</c:v>
                </c:pt>
                <c:pt idx="22">
                  <c:v>6393.6949502610678</c:v>
                </c:pt>
                <c:pt idx="23">
                  <c:v>6488.4338371632994</c:v>
                </c:pt>
                <c:pt idx="24">
                  <c:v>6505.3022108551268</c:v>
                </c:pt>
                <c:pt idx="25">
                  <c:v>6626.0095428913719</c:v>
                </c:pt>
                <c:pt idx="26">
                  <c:v>6903.0342326627569</c:v>
                </c:pt>
                <c:pt idx="27">
                  <c:v>6931.8234695179463</c:v>
                </c:pt>
                <c:pt idx="28">
                  <c:v>7035.7520776737483</c:v>
                </c:pt>
                <c:pt idx="29">
                  <c:v>7044.0472688045502</c:v>
                </c:pt>
                <c:pt idx="30">
                  <c:v>7158.4819079293575</c:v>
                </c:pt>
                <c:pt idx="31">
                  <c:v>7253.312244991519</c:v>
                </c:pt>
                <c:pt idx="32">
                  <c:v>7254.6250313286118</c:v>
                </c:pt>
                <c:pt idx="33">
                  <c:v>7318.3846504523872</c:v>
                </c:pt>
                <c:pt idx="34">
                  <c:v>7333.8657130028523</c:v>
                </c:pt>
                <c:pt idx="35">
                  <c:v>7364.5093074123488</c:v>
                </c:pt>
                <c:pt idx="36">
                  <c:v>7403.1823335873751</c:v>
                </c:pt>
                <c:pt idx="37">
                  <c:v>7504.4375695273357</c:v>
                </c:pt>
                <c:pt idx="38">
                  <c:v>7708.6214573355082</c:v>
                </c:pt>
                <c:pt idx="39">
                  <c:v>7866.1129934728142</c:v>
                </c:pt>
                <c:pt idx="40">
                  <c:v>7868.1070221645377</c:v>
                </c:pt>
                <c:pt idx="41">
                  <c:v>7920.453639624624</c:v>
                </c:pt>
                <c:pt idx="42">
                  <c:v>7945.1887745061667</c:v>
                </c:pt>
                <c:pt idx="43">
                  <c:v>8020.8528067563184</c:v>
                </c:pt>
                <c:pt idx="44">
                  <c:v>8102.7649910069204</c:v>
                </c:pt>
                <c:pt idx="45">
                  <c:v>8106.3654195423178</c:v>
                </c:pt>
                <c:pt idx="46">
                  <c:v>8149.7674605083794</c:v>
                </c:pt>
                <c:pt idx="47">
                  <c:v>8272.2057589426204</c:v>
                </c:pt>
                <c:pt idx="48">
                  <c:v>8306.9594999637266</c:v>
                </c:pt>
                <c:pt idx="49">
                  <c:v>8390.3958185267475</c:v>
                </c:pt>
                <c:pt idx="50">
                  <c:v>8478.8347085229452</c:v>
                </c:pt>
                <c:pt idx="51">
                  <c:v>8725.074556360456</c:v>
                </c:pt>
                <c:pt idx="52">
                  <c:v>8727.2586185799009</c:v>
                </c:pt>
                <c:pt idx="53">
                  <c:v>8729.1731063048101</c:v>
                </c:pt>
                <c:pt idx="54">
                  <c:v>8863.5314771344401</c:v>
                </c:pt>
                <c:pt idx="55">
                  <c:v>8893.3368872496048</c:v>
                </c:pt>
                <c:pt idx="56">
                  <c:v>8933.7827331795088</c:v>
                </c:pt>
                <c:pt idx="57">
                  <c:v>8966.5135985052821</c:v>
                </c:pt>
                <c:pt idx="58">
                  <c:v>9001.1773175792987</c:v>
                </c:pt>
                <c:pt idx="59">
                  <c:v>9034.0037796534125</c:v>
                </c:pt>
                <c:pt idx="60">
                  <c:v>9127.0423225723935</c:v>
                </c:pt>
                <c:pt idx="61">
                  <c:v>9190.674178751462</c:v>
                </c:pt>
                <c:pt idx="62">
                  <c:v>9254.9684434258943</c:v>
                </c:pt>
                <c:pt idx="63">
                  <c:v>9337.538468955654</c:v>
                </c:pt>
                <c:pt idx="64">
                  <c:v>9349.1552779408066</c:v>
                </c:pt>
                <c:pt idx="65">
                  <c:v>9353.3439247647675</c:v>
                </c:pt>
                <c:pt idx="66">
                  <c:v>9382.6917493391848</c:v>
                </c:pt>
                <c:pt idx="67">
                  <c:v>9389.4650522197026</c:v>
                </c:pt>
                <c:pt idx="68">
                  <c:v>9397.6313499858643</c:v>
                </c:pt>
                <c:pt idx="69">
                  <c:v>9411.0468168070583</c:v>
                </c:pt>
                <c:pt idx="70">
                  <c:v>9420.0198783205833</c:v>
                </c:pt>
                <c:pt idx="71">
                  <c:v>9424.2693833847698</c:v>
                </c:pt>
                <c:pt idx="72">
                  <c:v>9636.444496223723</c:v>
                </c:pt>
                <c:pt idx="73">
                  <c:v>9655.0770041576397</c:v>
                </c:pt>
                <c:pt idx="74">
                  <c:v>9689.5349235306494</c:v>
                </c:pt>
                <c:pt idx="75">
                  <c:v>9819.9427129122832</c:v>
                </c:pt>
                <c:pt idx="76">
                  <c:v>9822.0023384824581</c:v>
                </c:pt>
                <c:pt idx="77">
                  <c:v>9888.2949816492583</c:v>
                </c:pt>
                <c:pt idx="78">
                  <c:v>10155.243915931058</c:v>
                </c:pt>
                <c:pt idx="79">
                  <c:v>10182.430519882164</c:v>
                </c:pt>
                <c:pt idx="80">
                  <c:v>10259.95323364716</c:v>
                </c:pt>
                <c:pt idx="81">
                  <c:v>10334.474090113607</c:v>
                </c:pt>
                <c:pt idx="82">
                  <c:v>10347.159978488566</c:v>
                </c:pt>
                <c:pt idx="83">
                  <c:v>10398.732494096614</c:v>
                </c:pt>
                <c:pt idx="84">
                  <c:v>10500.588857300247</c:v>
                </c:pt>
                <c:pt idx="85">
                  <c:v>10532.221042829826</c:v>
                </c:pt>
                <c:pt idx="86">
                  <c:v>10539.316298472902</c:v>
                </c:pt>
                <c:pt idx="87">
                  <c:v>10568.769019631243</c:v>
                </c:pt>
                <c:pt idx="88">
                  <c:v>10576.649686443505</c:v>
                </c:pt>
                <c:pt idx="89">
                  <c:v>10723.008611176281</c:v>
                </c:pt>
                <c:pt idx="90">
                  <c:v>10917.171728662968</c:v>
                </c:pt>
                <c:pt idx="91">
                  <c:v>10921.24081670224</c:v>
                </c:pt>
                <c:pt idx="92">
                  <c:v>10962.40812113227</c:v>
                </c:pt>
                <c:pt idx="93">
                  <c:v>11064.059793417591</c:v>
                </c:pt>
                <c:pt idx="94">
                  <c:v>11210.874886493742</c:v>
                </c:pt>
                <c:pt idx="95">
                  <c:v>11282.487111157234</c:v>
                </c:pt>
                <c:pt idx="96">
                  <c:v>11285.552118930171</c:v>
                </c:pt>
                <c:pt idx="97">
                  <c:v>11467.419806900347</c:v>
                </c:pt>
                <c:pt idx="98">
                  <c:v>11546.03295697284</c:v>
                </c:pt>
                <c:pt idx="99">
                  <c:v>11582.501641497045</c:v>
                </c:pt>
                <c:pt idx="100">
                  <c:v>11662.25283799265</c:v>
                </c:pt>
                <c:pt idx="101">
                  <c:v>12019.734124493638</c:v>
                </c:pt>
                <c:pt idx="102">
                  <c:v>12080.9162624152</c:v>
                </c:pt>
                <c:pt idx="103">
                  <c:v>12117.402833953875</c:v>
                </c:pt>
                <c:pt idx="104">
                  <c:v>12154.960725997102</c:v>
                </c:pt>
                <c:pt idx="105">
                  <c:v>12533.761140298246</c:v>
                </c:pt>
                <c:pt idx="106">
                  <c:v>12706.294610291878</c:v>
                </c:pt>
                <c:pt idx="107">
                  <c:v>12822.79648894118</c:v>
                </c:pt>
                <c:pt idx="108">
                  <c:v>12944.080593163275</c:v>
                </c:pt>
                <c:pt idx="109">
                  <c:v>13001.506257958321</c:v>
                </c:pt>
                <c:pt idx="110">
                  <c:v>13065.688847025051</c:v>
                </c:pt>
                <c:pt idx="111">
                  <c:v>13098.008388233673</c:v>
                </c:pt>
                <c:pt idx="112">
                  <c:v>13148.837419296582</c:v>
                </c:pt>
                <c:pt idx="113">
                  <c:v>13339.861239710302</c:v>
                </c:pt>
                <c:pt idx="114">
                  <c:v>13362.711233100243</c:v>
                </c:pt>
                <c:pt idx="115">
                  <c:v>13374.746440252404</c:v>
                </c:pt>
                <c:pt idx="116">
                  <c:v>13904.559180623872</c:v>
                </c:pt>
                <c:pt idx="117">
                  <c:v>13919.491980598088</c:v>
                </c:pt>
                <c:pt idx="118">
                  <c:v>13937.07635987922</c:v>
                </c:pt>
                <c:pt idx="119">
                  <c:v>14270.841403177421</c:v>
                </c:pt>
                <c:pt idx="120">
                  <c:v>14368.836291913214</c:v>
                </c:pt>
                <c:pt idx="121">
                  <c:v>14433.882100145422</c:v>
                </c:pt>
                <c:pt idx="122">
                  <c:v>14700.937262764488</c:v>
                </c:pt>
                <c:pt idx="123">
                  <c:v>14869.74142550911</c:v>
                </c:pt>
                <c:pt idx="124">
                  <c:v>17845.736074646633</c:v>
                </c:pt>
                <c:pt idx="125">
                  <c:v>18207.096638592382</c:v>
                </c:pt>
                <c:pt idx="126">
                  <c:v>18963.37586458736</c:v>
                </c:pt>
                <c:pt idx="127">
                  <c:v>20300.269364423333</c:v>
                </c:pt>
                <c:pt idx="128">
                  <c:v>20935.426153598059</c:v>
                </c:pt>
                <c:pt idx="129">
                  <c:v>21062.555930450693</c:v>
                </c:pt>
                <c:pt idx="130">
                  <c:v>22724.390433902001</c:v>
                </c:pt>
                <c:pt idx="131">
                  <c:v>23963.512423730619</c:v>
                </c:pt>
                <c:pt idx="132">
                  <c:v>24679.938843188767</c:v>
                </c:pt>
                <c:pt idx="133">
                  <c:v>24864.846387215315</c:v>
                </c:pt>
                <c:pt idx="134">
                  <c:v>26074.676666863521</c:v>
                </c:pt>
                <c:pt idx="135">
                  <c:v>31828.449791763072</c:v>
                </c:pt>
                <c:pt idx="136">
                  <c:v>32937.059022473091</c:v>
                </c:pt>
              </c:numCache>
            </c:numRef>
          </c:val>
          <c:smooth val="0"/>
        </c:ser>
        <c:ser>
          <c:idx val="3"/>
          <c:order val="3"/>
          <c:tx>
            <c:strRef>
              <c:f>Roads!$C$2</c:f>
              <c:strCache>
                <c:ptCount val="1"/>
                <c:pt idx="0">
                  <c:v>Average road allocation per person (Tsh)</c:v>
                </c:pt>
              </c:strCache>
            </c:strRef>
          </c:tx>
          <c:marker>
            <c:symbol val="none"/>
          </c:marker>
          <c:val>
            <c:numRef>
              <c:f>Roads!$C$22:$C$158</c:f>
              <c:numCache>
                <c:formatCode>#,##0</c:formatCode>
                <c:ptCount val="137"/>
                <c:pt idx="0">
                  <c:v>32.892032384745235</c:v>
                </c:pt>
                <c:pt idx="1">
                  <c:v>64.642786365437971</c:v>
                </c:pt>
                <c:pt idx="2">
                  <c:v>96.041182459038438</c:v>
                </c:pt>
                <c:pt idx="3">
                  <c:v>117.11527028966196</c:v>
                </c:pt>
                <c:pt idx="4">
                  <c:v>123.54533495243878</c:v>
                </c:pt>
                <c:pt idx="5">
                  <c:v>197.58634600231488</c:v>
                </c:pt>
                <c:pt idx="6">
                  <c:v>251.25558759307785</c:v>
                </c:pt>
                <c:pt idx="7">
                  <c:v>271.006263965713</c:v>
                </c:pt>
                <c:pt idx="8">
                  <c:v>280.1539563133187</c:v>
                </c:pt>
                <c:pt idx="9">
                  <c:v>282.95608076844775</c:v>
                </c:pt>
                <c:pt idx="10">
                  <c:v>287.1044449995025</c:v>
                </c:pt>
                <c:pt idx="11">
                  <c:v>298.38860000385654</c:v>
                </c:pt>
                <c:pt idx="12">
                  <c:v>309.98781488177252</c:v>
                </c:pt>
                <c:pt idx="13">
                  <c:v>334.76796784506843</c:v>
                </c:pt>
                <c:pt idx="14">
                  <c:v>344.98940713380938</c:v>
                </c:pt>
                <c:pt idx="15">
                  <c:v>357.55520425796232</c:v>
                </c:pt>
                <c:pt idx="16">
                  <c:v>366.77649146735246</c:v>
                </c:pt>
                <c:pt idx="17">
                  <c:v>369.63312749727572</c:v>
                </c:pt>
                <c:pt idx="18">
                  <c:v>375.21608497799747</c:v>
                </c:pt>
                <c:pt idx="19">
                  <c:v>376.96087228262553</c:v>
                </c:pt>
                <c:pt idx="20">
                  <c:v>377.46165074649798</c:v>
                </c:pt>
                <c:pt idx="21">
                  <c:v>380.4521902967499</c:v>
                </c:pt>
                <c:pt idx="22">
                  <c:v>383.23206647722236</c:v>
                </c:pt>
                <c:pt idx="23">
                  <c:v>383.49743198690203</c:v>
                </c:pt>
                <c:pt idx="24">
                  <c:v>387.6875183288592</c:v>
                </c:pt>
                <c:pt idx="25">
                  <c:v>391.10678588676041</c:v>
                </c:pt>
                <c:pt idx="26">
                  <c:v>404.65672143290783</c:v>
                </c:pt>
                <c:pt idx="27">
                  <c:v>418.45365396043036</c:v>
                </c:pt>
                <c:pt idx="28">
                  <c:v>425.84093360792389</c:v>
                </c:pt>
                <c:pt idx="29">
                  <c:v>427.32372039142763</c:v>
                </c:pt>
                <c:pt idx="30">
                  <c:v>433.9220275747146</c:v>
                </c:pt>
                <c:pt idx="31">
                  <c:v>436.9834619365073</c:v>
                </c:pt>
                <c:pt idx="32">
                  <c:v>442.6725938301808</c:v>
                </c:pt>
                <c:pt idx="33">
                  <c:v>442.99781410634029</c:v>
                </c:pt>
                <c:pt idx="34">
                  <c:v>443.1802883702627</c:v>
                </c:pt>
                <c:pt idx="35">
                  <c:v>449.29695411700555</c:v>
                </c:pt>
                <c:pt idx="36">
                  <c:v>450.12499207326636</c:v>
                </c:pt>
                <c:pt idx="37">
                  <c:v>457.54805409053415</c:v>
                </c:pt>
                <c:pt idx="38">
                  <c:v>461.75369081445564</c:v>
                </c:pt>
                <c:pt idx="39">
                  <c:v>471.20555661299534</c:v>
                </c:pt>
                <c:pt idx="40">
                  <c:v>477.04033046187857</c:v>
                </c:pt>
                <c:pt idx="41">
                  <c:v>487.97502018512921</c:v>
                </c:pt>
                <c:pt idx="42">
                  <c:v>488.15609296677013</c:v>
                </c:pt>
                <c:pt idx="43">
                  <c:v>488.3491176670982</c:v>
                </c:pt>
                <c:pt idx="44">
                  <c:v>490.43676604845751</c:v>
                </c:pt>
                <c:pt idx="45">
                  <c:v>491.23487325675637</c:v>
                </c:pt>
                <c:pt idx="46">
                  <c:v>495.4266309589496</c:v>
                </c:pt>
                <c:pt idx="47">
                  <c:v>500.13762252025947</c:v>
                </c:pt>
                <c:pt idx="48">
                  <c:v>515.34293571486921</c:v>
                </c:pt>
                <c:pt idx="49">
                  <c:v>523.39026541576459</c:v>
                </c:pt>
                <c:pt idx="50">
                  <c:v>524.07134150253421</c:v>
                </c:pt>
                <c:pt idx="51">
                  <c:v>529.56072368618084</c:v>
                </c:pt>
                <c:pt idx="52">
                  <c:v>539.98432314337651</c:v>
                </c:pt>
                <c:pt idx="53">
                  <c:v>546.47006585340057</c:v>
                </c:pt>
                <c:pt idx="54">
                  <c:v>549.91577684116157</c:v>
                </c:pt>
                <c:pt idx="55">
                  <c:v>552.16747089059061</c:v>
                </c:pt>
                <c:pt idx="56">
                  <c:v>552.81526866695935</c:v>
                </c:pt>
                <c:pt idx="57">
                  <c:v>560.2939880366182</c:v>
                </c:pt>
                <c:pt idx="58">
                  <c:v>567.95829204875679</c:v>
                </c:pt>
                <c:pt idx="59">
                  <c:v>587.76468463587526</c:v>
                </c:pt>
                <c:pt idx="60">
                  <c:v>622.74567674190962</c:v>
                </c:pt>
                <c:pt idx="61">
                  <c:v>623.6789016724158</c:v>
                </c:pt>
                <c:pt idx="62">
                  <c:v>632.61018142965008</c:v>
                </c:pt>
                <c:pt idx="63">
                  <c:v>638.1155300032292</c:v>
                </c:pt>
                <c:pt idx="64">
                  <c:v>647.95417502360294</c:v>
                </c:pt>
                <c:pt idx="65">
                  <c:v>654.37907473796963</c:v>
                </c:pt>
                <c:pt idx="66">
                  <c:v>669.18017847277952</c:v>
                </c:pt>
                <c:pt idx="67">
                  <c:v>671.90023737436491</c:v>
                </c:pt>
                <c:pt idx="68">
                  <c:v>678.22693030614118</c:v>
                </c:pt>
                <c:pt idx="69">
                  <c:v>684.88701220361008</c:v>
                </c:pt>
                <c:pt idx="70">
                  <c:v>692.26612166291648</c:v>
                </c:pt>
                <c:pt idx="71">
                  <c:v>694.39621462896378</c:v>
                </c:pt>
                <c:pt idx="72">
                  <c:v>695.92081998880008</c:v>
                </c:pt>
                <c:pt idx="73">
                  <c:v>696.26933636688136</c:v>
                </c:pt>
                <c:pt idx="74">
                  <c:v>710.56347685567835</c:v>
                </c:pt>
                <c:pt idx="75">
                  <c:v>741.91694413702362</c:v>
                </c:pt>
                <c:pt idx="76">
                  <c:v>753.24080158240747</c:v>
                </c:pt>
                <c:pt idx="77">
                  <c:v>763.46674001742076</c:v>
                </c:pt>
                <c:pt idx="78">
                  <c:v>766.89189189189187</c:v>
                </c:pt>
                <c:pt idx="79">
                  <c:v>774.53212686535585</c:v>
                </c:pt>
                <c:pt idx="80">
                  <c:v>783.89336776469111</c:v>
                </c:pt>
                <c:pt idx="81">
                  <c:v>796.3954271354894</c:v>
                </c:pt>
                <c:pt idx="82">
                  <c:v>797.6728431365251</c:v>
                </c:pt>
                <c:pt idx="83">
                  <c:v>812.00717318494685</c:v>
                </c:pt>
                <c:pt idx="84">
                  <c:v>816.29187109364216</c:v>
                </c:pt>
                <c:pt idx="85">
                  <c:v>832.22737839691456</c:v>
                </c:pt>
                <c:pt idx="86">
                  <c:v>839.56666934438078</c:v>
                </c:pt>
                <c:pt idx="87">
                  <c:v>839.811542991755</c:v>
                </c:pt>
                <c:pt idx="88">
                  <c:v>848.92810612341589</c:v>
                </c:pt>
                <c:pt idx="89">
                  <c:v>852.76295511967044</c:v>
                </c:pt>
                <c:pt idx="90">
                  <c:v>858.22513458868241</c:v>
                </c:pt>
                <c:pt idx="91">
                  <c:v>889.97788849425137</c:v>
                </c:pt>
                <c:pt idx="92">
                  <c:v>893.58404268834965</c:v>
                </c:pt>
                <c:pt idx="93">
                  <c:v>902.44499834310659</c:v>
                </c:pt>
                <c:pt idx="94">
                  <c:v>908.2331824117914</c:v>
                </c:pt>
                <c:pt idx="95">
                  <c:v>913.31024473403318</c:v>
                </c:pt>
                <c:pt idx="96">
                  <c:v>915.09547617613396</c:v>
                </c:pt>
                <c:pt idx="97">
                  <c:v>917.68822074392847</c:v>
                </c:pt>
                <c:pt idx="98">
                  <c:v>922.7132986231012</c:v>
                </c:pt>
                <c:pt idx="99">
                  <c:v>932.8211852250314</c:v>
                </c:pt>
                <c:pt idx="100">
                  <c:v>944.71404923775367</c:v>
                </c:pt>
                <c:pt idx="101">
                  <c:v>957.86622483975759</c:v>
                </c:pt>
                <c:pt idx="102">
                  <c:v>963.31697380423407</c:v>
                </c:pt>
                <c:pt idx="103">
                  <c:v>984.29804410916688</c:v>
                </c:pt>
                <c:pt idx="104">
                  <c:v>985.22829646365699</c:v>
                </c:pt>
                <c:pt idx="105">
                  <c:v>995.41394326510715</c:v>
                </c:pt>
                <c:pt idx="106">
                  <c:v>1030.6135570523365</c:v>
                </c:pt>
                <c:pt idx="107">
                  <c:v>1049.0733093263734</c:v>
                </c:pt>
                <c:pt idx="108">
                  <c:v>1053.916537077256</c:v>
                </c:pt>
                <c:pt idx="109">
                  <c:v>1055.5181771288883</c:v>
                </c:pt>
                <c:pt idx="110">
                  <c:v>1061.1044436317559</c:v>
                </c:pt>
                <c:pt idx="111">
                  <c:v>1077.2367847581097</c:v>
                </c:pt>
                <c:pt idx="112">
                  <c:v>1115.8758010375343</c:v>
                </c:pt>
                <c:pt idx="113">
                  <c:v>1143.8923698541898</c:v>
                </c:pt>
                <c:pt idx="114">
                  <c:v>1156.3219748420245</c:v>
                </c:pt>
                <c:pt idx="115">
                  <c:v>1161.9363296279323</c:v>
                </c:pt>
                <c:pt idx="116">
                  <c:v>1167.9120756713605</c:v>
                </c:pt>
                <c:pt idx="117">
                  <c:v>1181.5946592247162</c:v>
                </c:pt>
                <c:pt idx="118">
                  <c:v>1232.0876362184058</c:v>
                </c:pt>
                <c:pt idx="119">
                  <c:v>1254.2386078290153</c:v>
                </c:pt>
                <c:pt idx="120">
                  <c:v>1279.8077218282215</c:v>
                </c:pt>
                <c:pt idx="121">
                  <c:v>1315.1808402184995</c:v>
                </c:pt>
                <c:pt idx="122">
                  <c:v>1560.9568620143482</c:v>
                </c:pt>
                <c:pt idx="123">
                  <c:v>1573.7036876261584</c:v>
                </c:pt>
                <c:pt idx="124">
                  <c:v>1581.9800564077427</c:v>
                </c:pt>
                <c:pt idx="125">
                  <c:v>1602.6817613433368</c:v>
                </c:pt>
                <c:pt idx="126">
                  <c:v>1767.9849306087776</c:v>
                </c:pt>
                <c:pt idx="127">
                  <c:v>1968.3479105928086</c:v>
                </c:pt>
                <c:pt idx="128">
                  <c:v>1980.8931563345791</c:v>
                </c:pt>
                <c:pt idx="129">
                  <c:v>2006.8614576493762</c:v>
                </c:pt>
                <c:pt idx="130">
                  <c:v>2118.4380975880576</c:v>
                </c:pt>
                <c:pt idx="131">
                  <c:v>2181.4619645993785</c:v>
                </c:pt>
                <c:pt idx="132">
                  <c:v>2453.5509711873897</c:v>
                </c:pt>
                <c:pt idx="133">
                  <c:v>2581.7630218348077</c:v>
                </c:pt>
                <c:pt idx="134">
                  <c:v>2710.8005552984728</c:v>
                </c:pt>
                <c:pt idx="135">
                  <c:v>3125.5438160348044</c:v>
                </c:pt>
                <c:pt idx="136">
                  <c:v>3726.8125998577211</c:v>
                </c:pt>
              </c:numCache>
            </c:numRef>
          </c:val>
          <c:smooth val="0"/>
        </c:ser>
        <c:ser>
          <c:idx val="4"/>
          <c:order val="4"/>
          <c:tx>
            <c:strRef>
              <c:f>Water!$C$2</c:f>
              <c:strCache>
                <c:ptCount val="1"/>
                <c:pt idx="0">
                  <c:v>Average Water Allocation per Person (Tsh)</c:v>
                </c:pt>
              </c:strCache>
            </c:strRef>
          </c:tx>
          <c:marker>
            <c:symbol val="none"/>
          </c:marker>
          <c:val>
            <c:numRef>
              <c:f>Water!$C$22:$C$158</c:f>
              <c:numCache>
                <c:formatCode>#,##0</c:formatCode>
                <c:ptCount val="137"/>
                <c:pt idx="0">
                  <c:v>74.982026012318343</c:v>
                </c:pt>
                <c:pt idx="1">
                  <c:v>89.840137402563087</c:v>
                </c:pt>
                <c:pt idx="2">
                  <c:v>91.459669606731964</c:v>
                </c:pt>
                <c:pt idx="3">
                  <c:v>91.770433004454333</c:v>
                </c:pt>
                <c:pt idx="4">
                  <c:v>97.625980731192655</c:v>
                </c:pt>
                <c:pt idx="5">
                  <c:v>99.818950965157541</c:v>
                </c:pt>
                <c:pt idx="6">
                  <c:v>102.8474553479236</c:v>
                </c:pt>
                <c:pt idx="7">
                  <c:v>102.94194695470378</c:v>
                </c:pt>
                <c:pt idx="8">
                  <c:v>121.0967206061009</c:v>
                </c:pt>
                <c:pt idx="9">
                  <c:v>154.84489081238232</c:v>
                </c:pt>
                <c:pt idx="10">
                  <c:v>156.75666876478633</c:v>
                </c:pt>
                <c:pt idx="11">
                  <c:v>162.97328878046781</c:v>
                </c:pt>
                <c:pt idx="12">
                  <c:v>168.07206930331725</c:v>
                </c:pt>
                <c:pt idx="13">
                  <c:v>215.06473009893767</c:v>
                </c:pt>
                <c:pt idx="14">
                  <c:v>224.30044411317121</c:v>
                </c:pt>
                <c:pt idx="15">
                  <c:v>236.89064935436357</c:v>
                </c:pt>
                <c:pt idx="16">
                  <c:v>239.79675026703981</c:v>
                </c:pt>
                <c:pt idx="17">
                  <c:v>240.49107516145375</c:v>
                </c:pt>
                <c:pt idx="18">
                  <c:v>266.75223224591178</c:v>
                </c:pt>
                <c:pt idx="19">
                  <c:v>281.47170536151333</c:v>
                </c:pt>
                <c:pt idx="20">
                  <c:v>284.20360250961346</c:v>
                </c:pt>
                <c:pt idx="21">
                  <c:v>308.74798645374869</c:v>
                </c:pt>
                <c:pt idx="22">
                  <c:v>323.33911945715636</c:v>
                </c:pt>
                <c:pt idx="23">
                  <c:v>357.39872390322665</c:v>
                </c:pt>
                <c:pt idx="24">
                  <c:v>364.62381582298764</c:v>
                </c:pt>
                <c:pt idx="25">
                  <c:v>405.66687424447781</c:v>
                </c:pt>
                <c:pt idx="26">
                  <c:v>410.27891957394365</c:v>
                </c:pt>
                <c:pt idx="27">
                  <c:v>411.82210788207732</c:v>
                </c:pt>
                <c:pt idx="28">
                  <c:v>415.54667635306936</c:v>
                </c:pt>
                <c:pt idx="29">
                  <c:v>424.78837423301172</c:v>
                </c:pt>
                <c:pt idx="30">
                  <c:v>430.34079337523161</c:v>
                </c:pt>
                <c:pt idx="31">
                  <c:v>438.54616003797651</c:v>
                </c:pt>
                <c:pt idx="32">
                  <c:v>450.06689868830784</c:v>
                </c:pt>
                <c:pt idx="33">
                  <c:v>450.72708513806833</c:v>
                </c:pt>
                <c:pt idx="34">
                  <c:v>455.86638001467435</c:v>
                </c:pt>
                <c:pt idx="35">
                  <c:v>456.5730587382547</c:v>
                </c:pt>
                <c:pt idx="36">
                  <c:v>461.54679174994897</c:v>
                </c:pt>
                <c:pt idx="37">
                  <c:v>467.82011680028228</c:v>
                </c:pt>
                <c:pt idx="38">
                  <c:v>474.79799610511714</c:v>
                </c:pt>
                <c:pt idx="39">
                  <c:v>475.26069552994267</c:v>
                </c:pt>
                <c:pt idx="40">
                  <c:v>475.31939180191125</c:v>
                </c:pt>
                <c:pt idx="41">
                  <c:v>492.19842542535281</c:v>
                </c:pt>
                <c:pt idx="42">
                  <c:v>506.15387462752864</c:v>
                </c:pt>
                <c:pt idx="43">
                  <c:v>531.64858455558738</c:v>
                </c:pt>
                <c:pt idx="44">
                  <c:v>534.01486554590997</c:v>
                </c:pt>
                <c:pt idx="45">
                  <c:v>536.04016332183437</c:v>
                </c:pt>
                <c:pt idx="46">
                  <c:v>540.28325088734243</c:v>
                </c:pt>
                <c:pt idx="47">
                  <c:v>545.20137103684658</c:v>
                </c:pt>
                <c:pt idx="48">
                  <c:v>561.91281749534176</c:v>
                </c:pt>
                <c:pt idx="49">
                  <c:v>564.15655451786904</c:v>
                </c:pt>
                <c:pt idx="50">
                  <c:v>577.1082486107199</c:v>
                </c:pt>
                <c:pt idx="51">
                  <c:v>578.34098926748163</c:v>
                </c:pt>
                <c:pt idx="52">
                  <c:v>600.06419515326593</c:v>
                </c:pt>
                <c:pt idx="53">
                  <c:v>602.06578768136706</c:v>
                </c:pt>
                <c:pt idx="54">
                  <c:v>612.00957179933926</c:v>
                </c:pt>
                <c:pt idx="55">
                  <c:v>623.03935928465592</c:v>
                </c:pt>
                <c:pt idx="56">
                  <c:v>630.84038733460295</c:v>
                </c:pt>
                <c:pt idx="57">
                  <c:v>643.39152119700748</c:v>
                </c:pt>
                <c:pt idx="58">
                  <c:v>643.44878808329031</c:v>
                </c:pt>
                <c:pt idx="59">
                  <c:v>655.02261414663064</c:v>
                </c:pt>
                <c:pt idx="60">
                  <c:v>660.45656964616182</c:v>
                </c:pt>
                <c:pt idx="61">
                  <c:v>669.32592893584365</c:v>
                </c:pt>
                <c:pt idx="62">
                  <c:v>676.26793010732854</c:v>
                </c:pt>
                <c:pt idx="63">
                  <c:v>680.14486773942144</c:v>
                </c:pt>
                <c:pt idx="64">
                  <c:v>683.80702719746762</c:v>
                </c:pt>
                <c:pt idx="65">
                  <c:v>684.26902794126374</c:v>
                </c:pt>
                <c:pt idx="66">
                  <c:v>685.35573995525647</c:v>
                </c:pt>
                <c:pt idx="67">
                  <c:v>686.25067128110265</c:v>
                </c:pt>
                <c:pt idx="68">
                  <c:v>701.72036006158953</c:v>
                </c:pt>
                <c:pt idx="69">
                  <c:v>705.44737276574301</c:v>
                </c:pt>
                <c:pt idx="70">
                  <c:v>715.30345750119852</c:v>
                </c:pt>
                <c:pt idx="71">
                  <c:v>740.25124400959805</c:v>
                </c:pt>
                <c:pt idx="72">
                  <c:v>742.89558986324801</c:v>
                </c:pt>
                <c:pt idx="73">
                  <c:v>798.10278918306665</c:v>
                </c:pt>
                <c:pt idx="74">
                  <c:v>810.21808560067689</c:v>
                </c:pt>
                <c:pt idx="75">
                  <c:v>827.67069701280229</c:v>
                </c:pt>
                <c:pt idx="76">
                  <c:v>832.31623848592699</c:v>
                </c:pt>
                <c:pt idx="77">
                  <c:v>832.9205460249425</c:v>
                </c:pt>
                <c:pt idx="78">
                  <c:v>844.97912919537112</c:v>
                </c:pt>
                <c:pt idx="79">
                  <c:v>849.96391628578306</c:v>
                </c:pt>
                <c:pt idx="80">
                  <c:v>864.44436392622924</c:v>
                </c:pt>
                <c:pt idx="81">
                  <c:v>868.6726117918779</c:v>
                </c:pt>
                <c:pt idx="82">
                  <c:v>872.31115447840568</c:v>
                </c:pt>
                <c:pt idx="83">
                  <c:v>875.33710508497916</c:v>
                </c:pt>
                <c:pt idx="84">
                  <c:v>888.59036245251605</c:v>
                </c:pt>
                <c:pt idx="85">
                  <c:v>888.77804597803527</c:v>
                </c:pt>
                <c:pt idx="86">
                  <c:v>918.19206965278511</c:v>
                </c:pt>
                <c:pt idx="87">
                  <c:v>920.71660866092316</c:v>
                </c:pt>
                <c:pt idx="88">
                  <c:v>928.37815882220616</c:v>
                </c:pt>
                <c:pt idx="89">
                  <c:v>932.94682938933886</c:v>
                </c:pt>
                <c:pt idx="90">
                  <c:v>939.74572756282748</c:v>
                </c:pt>
                <c:pt idx="91">
                  <c:v>942.26645936855368</c:v>
                </c:pt>
                <c:pt idx="92">
                  <c:v>950.09528649472747</c:v>
                </c:pt>
                <c:pt idx="93">
                  <c:v>953.53314069211876</c:v>
                </c:pt>
                <c:pt idx="94">
                  <c:v>955.36118811577069</c:v>
                </c:pt>
                <c:pt idx="95">
                  <c:v>960.16855400454745</c:v>
                </c:pt>
                <c:pt idx="96">
                  <c:v>967.839154273502</c:v>
                </c:pt>
                <c:pt idx="97">
                  <c:v>969.07923549194754</c:v>
                </c:pt>
                <c:pt idx="98">
                  <c:v>984.36408710807973</c:v>
                </c:pt>
                <c:pt idx="99">
                  <c:v>993.48310163094413</c:v>
                </c:pt>
                <c:pt idx="100">
                  <c:v>996.37470925763364</c:v>
                </c:pt>
                <c:pt idx="101">
                  <c:v>1010.321534294892</c:v>
                </c:pt>
                <c:pt idx="102">
                  <c:v>1011.9002659681321</c:v>
                </c:pt>
                <c:pt idx="103">
                  <c:v>1018.3873045616912</c:v>
                </c:pt>
                <c:pt idx="104">
                  <c:v>1033.1098153547134</c:v>
                </c:pt>
                <c:pt idx="105">
                  <c:v>1047.6754607939879</c:v>
                </c:pt>
                <c:pt idx="106">
                  <c:v>1072.8499186414215</c:v>
                </c:pt>
                <c:pt idx="107">
                  <c:v>1090.6061202499341</c:v>
                </c:pt>
                <c:pt idx="108">
                  <c:v>1109.1448520238607</c:v>
                </c:pt>
                <c:pt idx="109">
                  <c:v>1167.7958386782479</c:v>
                </c:pt>
                <c:pt idx="110">
                  <c:v>1258.7614570047162</c:v>
                </c:pt>
                <c:pt idx="111">
                  <c:v>1287.9111036222791</c:v>
                </c:pt>
                <c:pt idx="112">
                  <c:v>1332.0191554725618</c:v>
                </c:pt>
                <c:pt idx="113">
                  <c:v>1384.4485765646971</c:v>
                </c:pt>
                <c:pt idx="114">
                  <c:v>1410.0460743415726</c:v>
                </c:pt>
                <c:pt idx="115">
                  <c:v>1427.6440599240038</c:v>
                </c:pt>
                <c:pt idx="116">
                  <c:v>1461.7106555912826</c:v>
                </c:pt>
                <c:pt idx="117">
                  <c:v>1490.1993765278432</c:v>
                </c:pt>
                <c:pt idx="118">
                  <c:v>1497.4595666768387</c:v>
                </c:pt>
                <c:pt idx="119">
                  <c:v>1544.5247283330498</c:v>
                </c:pt>
                <c:pt idx="120">
                  <c:v>1552.5208760336093</c:v>
                </c:pt>
                <c:pt idx="121">
                  <c:v>1585.3208391247917</c:v>
                </c:pt>
                <c:pt idx="122">
                  <c:v>1587.6871119070329</c:v>
                </c:pt>
                <c:pt idx="123">
                  <c:v>1590.6581604158612</c:v>
                </c:pt>
                <c:pt idx="124">
                  <c:v>1618.8362919132151</c:v>
                </c:pt>
                <c:pt idx="125">
                  <c:v>1648.8329882873429</c:v>
                </c:pt>
                <c:pt idx="126">
                  <c:v>1714.7983005299584</c:v>
                </c:pt>
                <c:pt idx="127">
                  <c:v>1799.0231329931366</c:v>
                </c:pt>
                <c:pt idx="128">
                  <c:v>2041.8542964653629</c:v>
                </c:pt>
                <c:pt idx="129">
                  <c:v>2105.3853494566224</c:v>
                </c:pt>
                <c:pt idx="130">
                  <c:v>2295.7636961357507</c:v>
                </c:pt>
                <c:pt idx="131">
                  <c:v>2367.0934558984459</c:v>
                </c:pt>
                <c:pt idx="132">
                  <c:v>2881.7567961561335</c:v>
                </c:pt>
                <c:pt idx="133">
                  <c:v>3015.2614841527061</c:v>
                </c:pt>
                <c:pt idx="134">
                  <c:v>3407.3388173478615</c:v>
                </c:pt>
                <c:pt idx="135">
                  <c:v>5255.5298472929198</c:v>
                </c:pt>
                <c:pt idx="136">
                  <c:v>9679.7393574332091</c:v>
                </c:pt>
              </c:numCache>
            </c:numRef>
          </c:val>
          <c:smooth val="0"/>
        </c:ser>
        <c:dLbls>
          <c:showLegendKey val="0"/>
          <c:showVal val="0"/>
          <c:showCatName val="0"/>
          <c:showSerName val="0"/>
          <c:showPercent val="0"/>
          <c:showBubbleSize val="0"/>
        </c:dLbls>
        <c:marker val="1"/>
        <c:smooth val="0"/>
        <c:axId val="183553408"/>
        <c:axId val="183814016"/>
      </c:lineChart>
      <c:catAx>
        <c:axId val="183553408"/>
        <c:scaling>
          <c:orientation val="minMax"/>
        </c:scaling>
        <c:delete val="0"/>
        <c:axPos val="b"/>
        <c:majorTickMark val="out"/>
        <c:minorTickMark val="none"/>
        <c:tickLblPos val="nextTo"/>
        <c:crossAx val="183814016"/>
        <c:crosses val="autoZero"/>
        <c:auto val="1"/>
        <c:lblAlgn val="ctr"/>
        <c:lblOffset val="100"/>
        <c:noMultiLvlLbl val="0"/>
      </c:catAx>
      <c:valAx>
        <c:axId val="183814016"/>
        <c:scaling>
          <c:orientation val="minMax"/>
          <c:max val="100000"/>
        </c:scaling>
        <c:delete val="0"/>
        <c:axPos val="l"/>
        <c:majorGridlines/>
        <c:numFmt formatCode="#,##0" sourceLinked="1"/>
        <c:majorTickMark val="out"/>
        <c:minorTickMark val="none"/>
        <c:tickLblPos val="nextTo"/>
        <c:crossAx val="183553408"/>
        <c:crosses val="autoZero"/>
        <c:crossBetween val="between"/>
      </c:valAx>
    </c:plotArea>
    <c:legend>
      <c:legendPos val="r"/>
      <c:layout>
        <c:manualLayout>
          <c:xMode val="edge"/>
          <c:yMode val="edge"/>
          <c:x val="0.65909992134093431"/>
          <c:y val="0.13515745764940004"/>
          <c:w val="0.3254520868979946"/>
          <c:h val="0.79301220767093228"/>
        </c:manualLayout>
      </c:layout>
      <c:overlay val="0"/>
      <c:txPr>
        <a:bodyPr/>
        <a:lstStyle/>
        <a:p>
          <a:pPr>
            <a:defRPr sz="9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480D9-3548-43A3-8583-87BAA3B1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33</Pages>
  <Words>12119</Words>
  <Characters>69081</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wb145618</dc:creator>
  <cp:lastModifiedBy>Emmanuel A. Mungunasi</cp:lastModifiedBy>
  <cp:revision>3</cp:revision>
  <cp:lastPrinted>2013-11-15T11:14:00Z</cp:lastPrinted>
  <dcterms:created xsi:type="dcterms:W3CDTF">2013-11-15T11:30:00Z</dcterms:created>
  <dcterms:modified xsi:type="dcterms:W3CDTF">2013-11-15T11:43:00Z</dcterms:modified>
</cp:coreProperties>
</file>