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F9" w:rsidRDefault="000A07F9" w:rsidP="000A07F9">
      <w:pPr>
        <w:pStyle w:val="Annextitle"/>
        <w:numPr>
          <w:ilvl w:val="0"/>
          <w:numId w:val="0"/>
        </w:numPr>
        <w:ind w:left="360"/>
        <w:jc w:val="center"/>
      </w:pPr>
      <w:bookmarkStart w:id="0" w:name="_Toc268157216"/>
      <w:r>
        <w:t xml:space="preserve">Terms of Reference of </w:t>
      </w:r>
      <w:proofErr w:type="spellStart"/>
      <w:r>
        <w:t>JESWG</w:t>
      </w:r>
      <w:bookmarkEnd w:id="0"/>
      <w:proofErr w:type="spellEnd"/>
    </w:p>
    <w:p w:rsidR="000A07F9" w:rsidRPr="000A07F9" w:rsidRDefault="000A07F9" w:rsidP="000A07F9">
      <w:pPr>
        <w:pStyle w:val="Annexheading1"/>
        <w:numPr>
          <w:ilvl w:val="0"/>
          <w:numId w:val="0"/>
        </w:numPr>
      </w:pPr>
    </w:p>
    <w:p w:rsidR="000A07F9" w:rsidRPr="00FB71D2" w:rsidRDefault="000A07F9" w:rsidP="000A07F9">
      <w:pPr>
        <w:numPr>
          <w:ilvl w:val="3"/>
          <w:numId w:val="3"/>
        </w:numPr>
        <w:tabs>
          <w:tab w:val="clear" w:pos="3240"/>
          <w:tab w:val="num" w:pos="720"/>
        </w:tabs>
        <w:ind w:left="720"/>
        <w:rPr>
          <w:rFonts w:cs="Arial"/>
          <w:b/>
          <w:szCs w:val="22"/>
        </w:rPr>
      </w:pPr>
      <w:r w:rsidRPr="00FB71D2">
        <w:rPr>
          <w:rFonts w:cs="Arial"/>
          <w:b/>
          <w:szCs w:val="22"/>
        </w:rPr>
        <w:t>General Guidance</w:t>
      </w:r>
    </w:p>
    <w:p w:rsidR="000A07F9" w:rsidRPr="00FB71D2" w:rsidRDefault="000A07F9" w:rsidP="000A07F9">
      <w:pPr>
        <w:ind w:left="720"/>
        <w:jc w:val="both"/>
        <w:rPr>
          <w:rFonts w:cs="Arial"/>
          <w:szCs w:val="22"/>
        </w:rPr>
      </w:pPr>
      <w:r w:rsidRPr="00FB71D2">
        <w:rPr>
          <w:rFonts w:cs="Arial"/>
          <w:szCs w:val="22"/>
        </w:rPr>
        <w:t>The below outlined Terms of Reference (TOR) for the Tanzania Joint Energy Sector Working Group (</w:t>
      </w:r>
      <w:proofErr w:type="spellStart"/>
      <w:r w:rsidRPr="00FB71D2">
        <w:rPr>
          <w:rFonts w:cs="Arial"/>
          <w:szCs w:val="22"/>
        </w:rPr>
        <w:t>JESWG</w:t>
      </w:r>
      <w:proofErr w:type="spellEnd"/>
      <w:r w:rsidRPr="00FB71D2">
        <w:rPr>
          <w:rFonts w:cs="Arial"/>
          <w:szCs w:val="22"/>
        </w:rPr>
        <w:t xml:space="preserve">) have been based on the </w:t>
      </w:r>
      <w:proofErr w:type="spellStart"/>
      <w:r w:rsidRPr="00FB71D2">
        <w:rPr>
          <w:rFonts w:cs="Arial"/>
          <w:szCs w:val="22"/>
        </w:rPr>
        <w:t>GBS</w:t>
      </w:r>
      <w:proofErr w:type="spellEnd"/>
      <w:r w:rsidRPr="00FB71D2">
        <w:rPr>
          <w:rFonts w:cs="Arial"/>
          <w:szCs w:val="22"/>
        </w:rPr>
        <w:t xml:space="preserve"> Generic Terms of Reference for Joint Sector and Thematic Area Working Groups. </w:t>
      </w:r>
    </w:p>
    <w:p w:rsidR="000A07F9" w:rsidRPr="00FB71D2" w:rsidRDefault="000A07F9" w:rsidP="000A07F9">
      <w:pPr>
        <w:rPr>
          <w:rFonts w:cs="Arial"/>
          <w:b/>
          <w:szCs w:val="22"/>
        </w:rPr>
      </w:pPr>
    </w:p>
    <w:p w:rsidR="000A07F9" w:rsidRPr="00FB71D2" w:rsidRDefault="000A07F9" w:rsidP="000A07F9">
      <w:pPr>
        <w:numPr>
          <w:ilvl w:val="3"/>
          <w:numId w:val="3"/>
        </w:numPr>
        <w:tabs>
          <w:tab w:val="clear" w:pos="3240"/>
          <w:tab w:val="num" w:pos="720"/>
        </w:tabs>
        <w:ind w:left="720"/>
        <w:jc w:val="both"/>
        <w:rPr>
          <w:rFonts w:cs="Arial"/>
          <w:b/>
          <w:szCs w:val="22"/>
        </w:rPr>
      </w:pPr>
      <w:r w:rsidRPr="00FB71D2">
        <w:rPr>
          <w:rFonts w:cs="Arial"/>
          <w:b/>
          <w:szCs w:val="22"/>
        </w:rPr>
        <w:t>Definition of a Sector / Thematic Area</w:t>
      </w:r>
    </w:p>
    <w:p w:rsidR="000A07F9" w:rsidRPr="00FB71D2" w:rsidRDefault="000A07F9" w:rsidP="000A07F9">
      <w:pPr>
        <w:numPr>
          <w:ilvl w:val="1"/>
          <w:numId w:val="4"/>
        </w:numPr>
        <w:jc w:val="both"/>
        <w:rPr>
          <w:rFonts w:cs="Arial"/>
          <w:szCs w:val="22"/>
        </w:rPr>
      </w:pPr>
      <w:r w:rsidRPr="00FB71D2">
        <w:rPr>
          <w:rFonts w:cs="Arial"/>
          <w:szCs w:val="22"/>
        </w:rPr>
        <w:t xml:space="preserve">A sector or thematic area constitutes a thematic entity on the basis of which policies, strategies and plans are formulated and implemented and dialogue is organised. At the same time, the term sector (or thematic area) is used to refer to a group of institutions (e.g. </w:t>
      </w:r>
      <w:proofErr w:type="spellStart"/>
      <w:r w:rsidRPr="00FB71D2">
        <w:rPr>
          <w:rFonts w:cs="Arial"/>
          <w:szCs w:val="22"/>
        </w:rPr>
        <w:t>MDAs</w:t>
      </w:r>
      <w:proofErr w:type="spellEnd"/>
      <w:r w:rsidRPr="00FB71D2">
        <w:rPr>
          <w:rFonts w:cs="Arial"/>
          <w:szCs w:val="22"/>
        </w:rPr>
        <w:t xml:space="preserve">) that are stakeholders and engage in dialogue on the thematic entity. Examples for a sector are education, water, agriculture, etc. Examples for thematic areas are governance, public financial management, etc. </w:t>
      </w:r>
    </w:p>
    <w:p w:rsidR="000A07F9" w:rsidRPr="00FB71D2" w:rsidRDefault="000A07F9" w:rsidP="000A07F9">
      <w:pPr>
        <w:jc w:val="both"/>
        <w:rPr>
          <w:rFonts w:cs="Arial"/>
          <w:szCs w:val="22"/>
        </w:rPr>
      </w:pPr>
    </w:p>
    <w:p w:rsidR="000A07F9" w:rsidRPr="00FB71D2" w:rsidRDefault="000A07F9" w:rsidP="000A07F9">
      <w:pPr>
        <w:numPr>
          <w:ilvl w:val="1"/>
          <w:numId w:val="4"/>
        </w:numPr>
        <w:jc w:val="both"/>
        <w:rPr>
          <w:rFonts w:cs="Arial"/>
          <w:szCs w:val="22"/>
        </w:rPr>
      </w:pPr>
      <w:r w:rsidRPr="00FB71D2">
        <w:rPr>
          <w:rFonts w:cs="Arial"/>
          <w:szCs w:val="22"/>
        </w:rPr>
        <w:t xml:space="preserve">Under Tanzania’s first </w:t>
      </w:r>
      <w:proofErr w:type="spellStart"/>
      <w:r w:rsidRPr="00FB71D2">
        <w:rPr>
          <w:rFonts w:cs="Arial"/>
          <w:szCs w:val="22"/>
        </w:rPr>
        <w:t>PRS</w:t>
      </w:r>
      <w:proofErr w:type="spellEnd"/>
      <w:r w:rsidRPr="00FB71D2">
        <w:rPr>
          <w:rFonts w:cs="Arial"/>
          <w:szCs w:val="22"/>
        </w:rPr>
        <w:t>, seven priority sectors were identified. Under the MKUKUTA, the classification of sectors and thematic areas, which are underlying the three MKUKUTA clusters, has been expanded, whereby each sector has a main MKUKUTA cluster to which it belongs, despite also contributing to the other two clusters.</w:t>
      </w:r>
    </w:p>
    <w:p w:rsidR="000A07F9" w:rsidRPr="00FB71D2" w:rsidRDefault="000A07F9" w:rsidP="000A07F9">
      <w:pPr>
        <w:jc w:val="both"/>
        <w:rPr>
          <w:rFonts w:cs="Arial"/>
          <w:szCs w:val="22"/>
        </w:rPr>
      </w:pPr>
    </w:p>
    <w:p w:rsidR="000A07F9" w:rsidRPr="00FB71D2" w:rsidRDefault="000A07F9" w:rsidP="000A07F9">
      <w:pPr>
        <w:rPr>
          <w:rFonts w:cs="Arial"/>
          <w:b/>
          <w:szCs w:val="22"/>
        </w:rPr>
      </w:pPr>
      <w:r w:rsidRPr="00FB71D2">
        <w:rPr>
          <w:rFonts w:cs="Arial"/>
          <w:b/>
          <w:szCs w:val="22"/>
        </w:rPr>
        <w:t>3.0</w:t>
      </w:r>
      <w:r w:rsidRPr="00FB71D2">
        <w:rPr>
          <w:rFonts w:cs="Arial"/>
          <w:b/>
          <w:szCs w:val="22"/>
        </w:rPr>
        <w:tab/>
        <w:t xml:space="preserve">Definition of Joint Sector and Thematic Area Working Groups </w:t>
      </w:r>
    </w:p>
    <w:p w:rsidR="000A07F9" w:rsidRPr="00FB71D2" w:rsidRDefault="000A07F9" w:rsidP="000A07F9">
      <w:pPr>
        <w:ind w:left="720"/>
        <w:jc w:val="both"/>
        <w:rPr>
          <w:rFonts w:cs="Arial"/>
          <w:szCs w:val="22"/>
        </w:rPr>
      </w:pPr>
      <w:r w:rsidRPr="00FB71D2">
        <w:rPr>
          <w:rFonts w:cs="Arial"/>
          <w:szCs w:val="22"/>
        </w:rPr>
        <w:t xml:space="preserve">Joint Sector and Thematic Area Working Groups are the structure for dialogue on sector or thematic area issues between Government (sector and thematic area </w:t>
      </w:r>
      <w:proofErr w:type="spellStart"/>
      <w:r w:rsidRPr="00FB71D2">
        <w:rPr>
          <w:rFonts w:cs="Arial"/>
          <w:szCs w:val="22"/>
        </w:rPr>
        <w:t>MDAs</w:t>
      </w:r>
      <w:proofErr w:type="spellEnd"/>
      <w:r w:rsidRPr="00FB71D2">
        <w:rPr>
          <w:rFonts w:cs="Arial"/>
          <w:szCs w:val="22"/>
        </w:rPr>
        <w:t>), Development Partners (</w:t>
      </w:r>
      <w:proofErr w:type="spellStart"/>
      <w:r w:rsidRPr="00FB71D2">
        <w:rPr>
          <w:rFonts w:cs="Arial"/>
          <w:szCs w:val="22"/>
        </w:rPr>
        <w:t>DPs</w:t>
      </w:r>
      <w:proofErr w:type="spellEnd"/>
      <w:r w:rsidRPr="00FB71D2">
        <w:rPr>
          <w:rFonts w:cs="Arial"/>
          <w:szCs w:val="22"/>
        </w:rPr>
        <w:t xml:space="preserve">) that are active (as defined in the </w:t>
      </w:r>
      <w:proofErr w:type="spellStart"/>
      <w:r w:rsidRPr="00FB71D2">
        <w:rPr>
          <w:rFonts w:cs="Arial"/>
          <w:szCs w:val="22"/>
        </w:rPr>
        <w:t>JAST</w:t>
      </w:r>
      <w:proofErr w:type="spellEnd"/>
      <w:r w:rsidRPr="00FB71D2">
        <w:rPr>
          <w:rFonts w:cs="Arial"/>
          <w:szCs w:val="22"/>
        </w:rPr>
        <w:t xml:space="preserve">) in a particular sector or thematic area, and other domestic stakeholders (non-state actors). They are the underlying structure of cluster and national level dialogue on the national budget and MKUKUTA. </w:t>
      </w:r>
    </w:p>
    <w:p w:rsidR="000A07F9" w:rsidRPr="00FB71D2" w:rsidRDefault="000A07F9" w:rsidP="000A07F9">
      <w:pPr>
        <w:rPr>
          <w:rFonts w:cs="Arial"/>
          <w:szCs w:val="22"/>
        </w:rPr>
      </w:pPr>
    </w:p>
    <w:p w:rsidR="000A07F9" w:rsidRPr="00FB71D2" w:rsidRDefault="000A07F9" w:rsidP="000A07F9">
      <w:pPr>
        <w:rPr>
          <w:rFonts w:cs="Arial"/>
          <w:b/>
          <w:szCs w:val="22"/>
        </w:rPr>
      </w:pPr>
      <w:r w:rsidRPr="00FB71D2">
        <w:rPr>
          <w:rFonts w:cs="Arial"/>
          <w:b/>
          <w:szCs w:val="22"/>
        </w:rPr>
        <w:t>4.0</w:t>
      </w:r>
      <w:r w:rsidRPr="00FB71D2">
        <w:rPr>
          <w:rFonts w:cs="Arial"/>
          <w:b/>
          <w:szCs w:val="22"/>
        </w:rPr>
        <w:tab/>
        <w:t xml:space="preserve">Objectives of </w:t>
      </w:r>
      <w:proofErr w:type="gramStart"/>
      <w:r w:rsidRPr="00FB71D2">
        <w:rPr>
          <w:rFonts w:cs="Arial"/>
          <w:b/>
          <w:szCs w:val="22"/>
        </w:rPr>
        <w:t>The</w:t>
      </w:r>
      <w:proofErr w:type="gramEnd"/>
      <w:r w:rsidRPr="00FB71D2">
        <w:rPr>
          <w:rFonts w:cs="Arial"/>
          <w:b/>
          <w:szCs w:val="22"/>
        </w:rPr>
        <w:t xml:space="preserve"> Joint Energy Sector Working Group</w:t>
      </w:r>
    </w:p>
    <w:p w:rsidR="000A07F9" w:rsidRPr="00FB71D2" w:rsidRDefault="000A07F9" w:rsidP="000A07F9">
      <w:pPr>
        <w:ind w:left="720"/>
        <w:jc w:val="both"/>
        <w:rPr>
          <w:rFonts w:cs="Arial"/>
          <w:szCs w:val="22"/>
        </w:rPr>
      </w:pPr>
      <w:r w:rsidRPr="00FB71D2">
        <w:rPr>
          <w:rFonts w:cs="Arial"/>
          <w:szCs w:val="22"/>
        </w:rPr>
        <w:t xml:space="preserve">The objectives of the </w:t>
      </w:r>
      <w:proofErr w:type="spellStart"/>
      <w:r w:rsidRPr="00FB71D2">
        <w:rPr>
          <w:rFonts w:cs="Arial"/>
          <w:szCs w:val="22"/>
        </w:rPr>
        <w:t>JESWG</w:t>
      </w:r>
      <w:proofErr w:type="spellEnd"/>
      <w:r w:rsidRPr="00FB71D2">
        <w:rPr>
          <w:rFonts w:cs="Arial"/>
          <w:szCs w:val="22"/>
        </w:rPr>
        <w:t xml:space="preserve"> dialogue are to: </w:t>
      </w:r>
    </w:p>
    <w:p w:rsidR="000A07F9" w:rsidRPr="00FB71D2" w:rsidRDefault="000A07F9" w:rsidP="000A07F9">
      <w:pPr>
        <w:ind w:left="720"/>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Achieve results on coherent energy sector policies, strategies and programmes in line with MKUKUTA and other national development frameworks;</w:t>
      </w:r>
    </w:p>
    <w:p w:rsidR="000A07F9" w:rsidRPr="00FB71D2" w:rsidRDefault="000A07F9" w:rsidP="000A07F9">
      <w:pPr>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Ensure that planning, budgeting and budget execution are in line with energy sector policies, strategies and</w:t>
      </w:r>
      <w:r w:rsidRPr="00FB71D2" w:rsidDel="005E42A1">
        <w:rPr>
          <w:rFonts w:cs="Arial"/>
          <w:szCs w:val="22"/>
        </w:rPr>
        <w:t xml:space="preserve"> </w:t>
      </w:r>
      <w:r w:rsidRPr="00FB71D2">
        <w:rPr>
          <w:rFonts w:cs="Arial"/>
          <w:szCs w:val="22"/>
        </w:rPr>
        <w:t>programmes;</w:t>
      </w:r>
    </w:p>
    <w:p w:rsidR="000A07F9" w:rsidRPr="00FB71D2" w:rsidRDefault="000A07F9" w:rsidP="000A07F9">
      <w:pPr>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Improve public financial management and accountability;</w:t>
      </w:r>
    </w:p>
    <w:p w:rsidR="000A07F9" w:rsidRPr="00FB71D2" w:rsidRDefault="000A07F9" w:rsidP="000A07F9">
      <w:pPr>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 xml:space="preserve">Achieve results on energy sector specific </w:t>
      </w:r>
      <w:proofErr w:type="spellStart"/>
      <w:r w:rsidRPr="00FB71D2">
        <w:rPr>
          <w:rFonts w:cs="Arial"/>
          <w:szCs w:val="22"/>
        </w:rPr>
        <w:t>JAST</w:t>
      </w:r>
      <w:proofErr w:type="spellEnd"/>
      <w:r w:rsidRPr="00FB71D2">
        <w:rPr>
          <w:rFonts w:cs="Arial"/>
          <w:szCs w:val="22"/>
        </w:rPr>
        <w:t xml:space="preserve"> commitments;</w:t>
      </w:r>
    </w:p>
    <w:p w:rsidR="000A07F9" w:rsidRPr="00FB71D2" w:rsidRDefault="000A07F9" w:rsidP="000A07F9">
      <w:pPr>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 xml:space="preserve">Achieve energy sector specific </w:t>
      </w:r>
      <w:proofErr w:type="spellStart"/>
      <w:r w:rsidRPr="00FB71D2">
        <w:rPr>
          <w:rFonts w:cs="Arial"/>
          <w:szCs w:val="22"/>
        </w:rPr>
        <w:t>GBS</w:t>
      </w:r>
      <w:proofErr w:type="spellEnd"/>
      <w:r w:rsidRPr="00FB71D2">
        <w:rPr>
          <w:rFonts w:cs="Arial"/>
          <w:szCs w:val="22"/>
        </w:rPr>
        <w:t xml:space="preserve"> commitments as outlined in the </w:t>
      </w:r>
      <w:proofErr w:type="spellStart"/>
      <w:r w:rsidRPr="00FB71D2">
        <w:rPr>
          <w:rFonts w:cs="Arial"/>
          <w:szCs w:val="22"/>
        </w:rPr>
        <w:t>PAF</w:t>
      </w:r>
      <w:proofErr w:type="spellEnd"/>
      <w:r w:rsidRPr="00FB71D2">
        <w:rPr>
          <w:rFonts w:cs="Arial"/>
          <w:szCs w:val="22"/>
        </w:rPr>
        <w:t xml:space="preserve"> matrix and </w:t>
      </w:r>
      <w:proofErr w:type="spellStart"/>
      <w:r w:rsidRPr="00FB71D2">
        <w:rPr>
          <w:rFonts w:cs="Arial"/>
          <w:szCs w:val="22"/>
        </w:rPr>
        <w:t>GBS</w:t>
      </w:r>
      <w:proofErr w:type="spellEnd"/>
      <w:r w:rsidRPr="00FB71D2">
        <w:rPr>
          <w:rFonts w:cs="Arial"/>
          <w:szCs w:val="22"/>
        </w:rPr>
        <w:t xml:space="preserve"> Partnership Framework Memorandum; and</w:t>
      </w:r>
    </w:p>
    <w:p w:rsidR="000A07F9" w:rsidRPr="00FB71D2" w:rsidRDefault="000A07F9" w:rsidP="000A07F9">
      <w:pPr>
        <w:jc w:val="both"/>
        <w:rPr>
          <w:rFonts w:cs="Arial"/>
          <w:szCs w:val="22"/>
        </w:rPr>
      </w:pPr>
    </w:p>
    <w:p w:rsidR="000A07F9" w:rsidRPr="00FB71D2" w:rsidRDefault="000A07F9" w:rsidP="000A07F9">
      <w:pPr>
        <w:numPr>
          <w:ilvl w:val="0"/>
          <w:numId w:val="5"/>
        </w:numPr>
        <w:tabs>
          <w:tab w:val="clear" w:pos="1080"/>
          <w:tab w:val="num" w:pos="1260"/>
        </w:tabs>
        <w:ind w:left="1260" w:hanging="540"/>
        <w:jc w:val="both"/>
        <w:rPr>
          <w:rFonts w:cs="Arial"/>
          <w:szCs w:val="22"/>
        </w:rPr>
      </w:pPr>
      <w:r w:rsidRPr="00FB71D2">
        <w:rPr>
          <w:rFonts w:cs="Arial"/>
          <w:szCs w:val="22"/>
        </w:rPr>
        <w:t xml:space="preserve">Enhance domestic and mutual accountability </w:t>
      </w:r>
    </w:p>
    <w:p w:rsidR="000A07F9" w:rsidRPr="00FB71D2" w:rsidRDefault="000A07F9" w:rsidP="000A07F9">
      <w:pPr>
        <w:rPr>
          <w:rFonts w:cs="Arial"/>
          <w:b/>
          <w:szCs w:val="22"/>
        </w:rPr>
      </w:pPr>
    </w:p>
    <w:p w:rsidR="000A07F9" w:rsidRPr="00FB71D2" w:rsidRDefault="000A07F9" w:rsidP="000A07F9">
      <w:pPr>
        <w:rPr>
          <w:rFonts w:cs="Arial"/>
          <w:b/>
          <w:szCs w:val="22"/>
        </w:rPr>
      </w:pPr>
    </w:p>
    <w:p w:rsidR="000A07F9" w:rsidRPr="00FB71D2" w:rsidRDefault="000A07F9" w:rsidP="000A07F9">
      <w:pPr>
        <w:rPr>
          <w:rFonts w:cs="Arial"/>
          <w:b/>
          <w:szCs w:val="22"/>
        </w:rPr>
      </w:pPr>
      <w:r w:rsidRPr="00FB71D2">
        <w:rPr>
          <w:rFonts w:cs="Arial"/>
          <w:b/>
          <w:szCs w:val="22"/>
        </w:rPr>
        <w:t>5.0</w:t>
      </w:r>
      <w:r w:rsidRPr="00FB71D2">
        <w:rPr>
          <w:rFonts w:cs="Arial"/>
          <w:b/>
          <w:szCs w:val="22"/>
        </w:rPr>
        <w:tab/>
        <w:t xml:space="preserve">Functions of </w:t>
      </w:r>
      <w:r>
        <w:rPr>
          <w:rFonts w:cs="Arial"/>
          <w:b/>
          <w:szCs w:val="22"/>
        </w:rPr>
        <w:t>t</w:t>
      </w:r>
      <w:r w:rsidRPr="00FB71D2">
        <w:rPr>
          <w:rFonts w:cs="Arial"/>
          <w:b/>
          <w:szCs w:val="22"/>
        </w:rPr>
        <w:t>he Joint Energy Sector Working Group</w:t>
      </w:r>
    </w:p>
    <w:p w:rsidR="000A07F9" w:rsidRPr="00FB71D2" w:rsidRDefault="000A07F9" w:rsidP="000A07F9">
      <w:pPr>
        <w:numPr>
          <w:ilvl w:val="1"/>
          <w:numId w:val="6"/>
        </w:numPr>
        <w:jc w:val="both"/>
        <w:rPr>
          <w:rFonts w:cs="Arial"/>
          <w:szCs w:val="22"/>
        </w:rPr>
      </w:pPr>
      <w:r w:rsidRPr="00FB71D2">
        <w:rPr>
          <w:rFonts w:cs="Arial"/>
          <w:szCs w:val="22"/>
        </w:rPr>
        <w:lastRenderedPageBreak/>
        <w:t xml:space="preserve">Inputting into and informing on both (1) policy (MKUKUTA, sector and thematic area policy, </w:t>
      </w:r>
      <w:proofErr w:type="spellStart"/>
      <w:r w:rsidRPr="00FB71D2">
        <w:rPr>
          <w:rFonts w:cs="Arial"/>
          <w:szCs w:val="22"/>
        </w:rPr>
        <w:t>GBS</w:t>
      </w:r>
      <w:proofErr w:type="spellEnd"/>
      <w:r w:rsidRPr="00FB71D2">
        <w:rPr>
          <w:rFonts w:cs="Arial"/>
          <w:szCs w:val="22"/>
        </w:rPr>
        <w:t xml:space="preserve">, </w:t>
      </w:r>
      <w:proofErr w:type="spellStart"/>
      <w:r w:rsidRPr="00FB71D2">
        <w:rPr>
          <w:rFonts w:cs="Arial"/>
          <w:szCs w:val="22"/>
        </w:rPr>
        <w:t>JAST</w:t>
      </w:r>
      <w:proofErr w:type="spellEnd"/>
      <w:r w:rsidRPr="00FB71D2">
        <w:rPr>
          <w:rFonts w:cs="Arial"/>
          <w:szCs w:val="22"/>
        </w:rPr>
        <w:t>) and (2) budgetary (public expenditure) issues, sectors and thematic areas are the underlying structure for the two main national processes:</w:t>
      </w:r>
    </w:p>
    <w:p w:rsidR="000A07F9" w:rsidRPr="00FB71D2" w:rsidRDefault="000A07F9" w:rsidP="000A07F9">
      <w:pPr>
        <w:jc w:val="both"/>
        <w:rPr>
          <w:rFonts w:cs="Arial"/>
          <w:szCs w:val="22"/>
        </w:rPr>
      </w:pPr>
    </w:p>
    <w:p w:rsidR="000A07F9" w:rsidRPr="00FB71D2" w:rsidRDefault="000A07F9" w:rsidP="000A07F9">
      <w:pPr>
        <w:numPr>
          <w:ilvl w:val="0"/>
          <w:numId w:val="7"/>
        </w:numPr>
        <w:tabs>
          <w:tab w:val="clear" w:pos="1080"/>
          <w:tab w:val="num" w:pos="1260"/>
        </w:tabs>
        <w:ind w:left="1260" w:hanging="540"/>
        <w:jc w:val="both"/>
        <w:rPr>
          <w:rFonts w:cs="Arial"/>
          <w:szCs w:val="22"/>
        </w:rPr>
      </w:pPr>
      <w:r w:rsidRPr="00FB71D2">
        <w:rPr>
          <w:rFonts w:cs="Arial"/>
          <w:szCs w:val="22"/>
        </w:rPr>
        <w:t xml:space="preserve">the MKUKUTA process, and </w:t>
      </w:r>
    </w:p>
    <w:p w:rsidR="000A07F9" w:rsidRPr="00FB71D2" w:rsidRDefault="000A07F9" w:rsidP="000A07F9">
      <w:pPr>
        <w:numPr>
          <w:ilvl w:val="0"/>
          <w:numId w:val="7"/>
        </w:numPr>
        <w:tabs>
          <w:tab w:val="clear" w:pos="1080"/>
          <w:tab w:val="num" w:pos="1260"/>
        </w:tabs>
        <w:ind w:left="1260" w:hanging="540"/>
        <w:jc w:val="both"/>
        <w:rPr>
          <w:rFonts w:cs="Arial"/>
          <w:szCs w:val="22"/>
        </w:rPr>
      </w:pPr>
      <w:proofErr w:type="gramStart"/>
      <w:r w:rsidRPr="00FB71D2">
        <w:rPr>
          <w:rFonts w:cs="Arial"/>
          <w:szCs w:val="22"/>
        </w:rPr>
        <w:t>the</w:t>
      </w:r>
      <w:proofErr w:type="gramEnd"/>
      <w:r w:rsidRPr="00FB71D2">
        <w:rPr>
          <w:rFonts w:cs="Arial"/>
          <w:szCs w:val="22"/>
        </w:rPr>
        <w:t xml:space="preserve"> national budget / PER process. </w:t>
      </w:r>
    </w:p>
    <w:p w:rsidR="000A07F9" w:rsidRPr="00FB71D2" w:rsidRDefault="000A07F9" w:rsidP="000A07F9">
      <w:pPr>
        <w:jc w:val="both"/>
        <w:rPr>
          <w:rFonts w:cs="Arial"/>
          <w:szCs w:val="22"/>
        </w:rPr>
      </w:pPr>
    </w:p>
    <w:p w:rsidR="000A07F9" w:rsidRPr="00FB71D2" w:rsidRDefault="000A07F9" w:rsidP="000A07F9">
      <w:pPr>
        <w:numPr>
          <w:ilvl w:val="1"/>
          <w:numId w:val="6"/>
        </w:numPr>
        <w:jc w:val="both"/>
        <w:rPr>
          <w:rFonts w:cs="Arial"/>
          <w:szCs w:val="22"/>
        </w:rPr>
      </w:pPr>
      <w:r w:rsidRPr="00FB71D2">
        <w:rPr>
          <w:rFonts w:cs="Arial"/>
          <w:szCs w:val="22"/>
        </w:rPr>
        <w:t xml:space="preserve">They are also the underlying structure for implementation of and dialogue on </w:t>
      </w:r>
      <w:proofErr w:type="spellStart"/>
      <w:r w:rsidRPr="00FB71D2">
        <w:rPr>
          <w:rFonts w:cs="Arial"/>
          <w:szCs w:val="22"/>
        </w:rPr>
        <w:t>JAST</w:t>
      </w:r>
      <w:proofErr w:type="spellEnd"/>
      <w:r w:rsidRPr="00FB71D2">
        <w:rPr>
          <w:rFonts w:cs="Arial"/>
          <w:szCs w:val="22"/>
        </w:rPr>
        <w:t xml:space="preserve"> and </w:t>
      </w:r>
      <w:proofErr w:type="spellStart"/>
      <w:r w:rsidRPr="00FB71D2">
        <w:rPr>
          <w:rFonts w:cs="Arial"/>
          <w:szCs w:val="22"/>
        </w:rPr>
        <w:t>GBS</w:t>
      </w:r>
      <w:proofErr w:type="spellEnd"/>
      <w:r w:rsidRPr="00FB71D2">
        <w:rPr>
          <w:rFonts w:cs="Arial"/>
          <w:szCs w:val="22"/>
        </w:rPr>
        <w:t xml:space="preserve"> issues, which are to be integrated as much as possible within the MKUKUTA and national budget / PER processes.</w:t>
      </w:r>
    </w:p>
    <w:p w:rsidR="000A07F9" w:rsidRPr="00FB71D2" w:rsidRDefault="000A07F9" w:rsidP="000A07F9">
      <w:pPr>
        <w:rPr>
          <w:rFonts w:cs="Arial"/>
          <w:b/>
          <w:szCs w:val="22"/>
        </w:rPr>
      </w:pPr>
    </w:p>
    <w:p w:rsidR="000A07F9" w:rsidRPr="00FB71D2" w:rsidRDefault="000A07F9" w:rsidP="000A07F9">
      <w:pPr>
        <w:numPr>
          <w:ilvl w:val="1"/>
          <w:numId w:val="6"/>
        </w:numPr>
        <w:rPr>
          <w:rFonts w:cs="Arial"/>
          <w:szCs w:val="22"/>
        </w:rPr>
      </w:pPr>
      <w:r w:rsidRPr="00FB71D2">
        <w:rPr>
          <w:rFonts w:cs="Arial"/>
          <w:szCs w:val="22"/>
        </w:rPr>
        <w:t xml:space="preserve">Specifically, the </w:t>
      </w:r>
      <w:proofErr w:type="spellStart"/>
      <w:r w:rsidRPr="00FB71D2">
        <w:rPr>
          <w:rFonts w:cs="Arial"/>
          <w:szCs w:val="22"/>
        </w:rPr>
        <w:t>JESWG</w:t>
      </w:r>
      <w:proofErr w:type="spellEnd"/>
      <w:r w:rsidRPr="00FB71D2">
        <w:rPr>
          <w:rFonts w:cs="Arial"/>
          <w:szCs w:val="22"/>
        </w:rPr>
        <w:t xml:space="preserve"> serves as a forum for:</w:t>
      </w:r>
    </w:p>
    <w:p w:rsidR="000A07F9" w:rsidRPr="00FB71D2" w:rsidRDefault="000A07F9" w:rsidP="000A07F9">
      <w:pPr>
        <w:rPr>
          <w:rFonts w:cs="Arial"/>
          <w:szCs w:val="22"/>
        </w:rPr>
      </w:pPr>
    </w:p>
    <w:p w:rsidR="000A07F9" w:rsidRPr="00FB71D2" w:rsidRDefault="000A07F9" w:rsidP="000A07F9">
      <w:pPr>
        <w:numPr>
          <w:ilvl w:val="0"/>
          <w:numId w:val="8"/>
        </w:numPr>
        <w:tabs>
          <w:tab w:val="clear" w:pos="1080"/>
          <w:tab w:val="num" w:pos="1260"/>
        </w:tabs>
        <w:ind w:left="1260" w:hanging="540"/>
        <w:rPr>
          <w:rFonts w:cs="Arial"/>
          <w:szCs w:val="22"/>
        </w:rPr>
      </w:pPr>
      <w:r w:rsidRPr="00FB71D2">
        <w:rPr>
          <w:rFonts w:cs="Arial"/>
          <w:szCs w:val="22"/>
        </w:rPr>
        <w:t>information sharing;</w:t>
      </w:r>
    </w:p>
    <w:p w:rsidR="000A07F9" w:rsidRPr="00FB71D2" w:rsidRDefault="000A07F9" w:rsidP="000A07F9">
      <w:pPr>
        <w:numPr>
          <w:ilvl w:val="0"/>
          <w:numId w:val="8"/>
        </w:numPr>
        <w:tabs>
          <w:tab w:val="clear" w:pos="1080"/>
          <w:tab w:val="num" w:pos="1260"/>
        </w:tabs>
        <w:ind w:left="1260" w:hanging="540"/>
        <w:rPr>
          <w:rFonts w:cs="Arial"/>
          <w:szCs w:val="22"/>
        </w:rPr>
      </w:pPr>
      <w:r w:rsidRPr="00FB71D2">
        <w:rPr>
          <w:rFonts w:cs="Arial"/>
          <w:szCs w:val="22"/>
        </w:rPr>
        <w:t>consultation ;</w:t>
      </w:r>
    </w:p>
    <w:p w:rsidR="000A07F9" w:rsidRPr="00FB71D2" w:rsidRDefault="000A07F9" w:rsidP="000A07F9">
      <w:pPr>
        <w:numPr>
          <w:ilvl w:val="0"/>
          <w:numId w:val="8"/>
        </w:numPr>
        <w:tabs>
          <w:tab w:val="clear" w:pos="1080"/>
          <w:tab w:val="num" w:pos="1260"/>
        </w:tabs>
        <w:ind w:left="1260" w:hanging="540"/>
        <w:rPr>
          <w:rFonts w:cs="Arial"/>
          <w:szCs w:val="22"/>
        </w:rPr>
      </w:pPr>
      <w:r w:rsidRPr="00FB71D2">
        <w:rPr>
          <w:rFonts w:cs="Arial"/>
          <w:szCs w:val="22"/>
        </w:rPr>
        <w:t>joint analysis and assessment of energy sector issues or performance; and</w:t>
      </w:r>
    </w:p>
    <w:p w:rsidR="000A07F9" w:rsidRPr="00FB71D2" w:rsidRDefault="000A07F9" w:rsidP="000A07F9">
      <w:pPr>
        <w:numPr>
          <w:ilvl w:val="0"/>
          <w:numId w:val="8"/>
        </w:numPr>
        <w:tabs>
          <w:tab w:val="clear" w:pos="1080"/>
          <w:tab w:val="num" w:pos="1260"/>
        </w:tabs>
        <w:ind w:left="1260" w:hanging="540"/>
        <w:rPr>
          <w:rFonts w:cs="Arial"/>
          <w:szCs w:val="22"/>
        </w:rPr>
      </w:pPr>
      <w:r w:rsidRPr="00FB71D2">
        <w:rPr>
          <w:rFonts w:cs="Arial"/>
          <w:szCs w:val="22"/>
        </w:rPr>
        <w:t>provision of advice on policy, budgetary and other issues</w:t>
      </w:r>
    </w:p>
    <w:p w:rsidR="000A07F9" w:rsidRPr="00FB71D2" w:rsidRDefault="000A07F9" w:rsidP="000A07F9">
      <w:pPr>
        <w:rPr>
          <w:rFonts w:cs="Arial"/>
          <w:szCs w:val="22"/>
        </w:rPr>
      </w:pPr>
    </w:p>
    <w:p w:rsidR="000A07F9" w:rsidRPr="00FB71D2" w:rsidRDefault="000A07F9" w:rsidP="000A07F9">
      <w:pPr>
        <w:rPr>
          <w:rFonts w:cs="Arial"/>
          <w:szCs w:val="22"/>
        </w:rPr>
      </w:pPr>
      <w:r w:rsidRPr="00FB71D2">
        <w:rPr>
          <w:rFonts w:cs="Arial"/>
          <w:szCs w:val="22"/>
        </w:rPr>
        <w:t>5.4</w:t>
      </w:r>
      <w:r w:rsidRPr="00FB71D2">
        <w:rPr>
          <w:rFonts w:cs="Arial"/>
          <w:szCs w:val="22"/>
        </w:rPr>
        <w:tab/>
        <w:t xml:space="preserve">The </w:t>
      </w:r>
      <w:proofErr w:type="spellStart"/>
      <w:r w:rsidRPr="00FB71D2">
        <w:rPr>
          <w:rFonts w:cs="Arial"/>
          <w:szCs w:val="22"/>
        </w:rPr>
        <w:t>JESWG</w:t>
      </w:r>
      <w:proofErr w:type="spellEnd"/>
      <w:r w:rsidRPr="00FB71D2">
        <w:rPr>
          <w:rFonts w:cs="Arial"/>
          <w:szCs w:val="22"/>
        </w:rPr>
        <w:t xml:space="preserve"> can assign specific tasks to ad-hoc Working Groups.</w:t>
      </w:r>
    </w:p>
    <w:p w:rsidR="000A07F9" w:rsidRPr="00FB71D2" w:rsidRDefault="000A07F9" w:rsidP="000A07F9">
      <w:pPr>
        <w:rPr>
          <w:rFonts w:cs="Arial"/>
          <w:szCs w:val="22"/>
        </w:rPr>
      </w:pPr>
    </w:p>
    <w:p w:rsidR="000A07F9" w:rsidRPr="00FB71D2" w:rsidRDefault="000A07F9" w:rsidP="000A07F9">
      <w:pPr>
        <w:rPr>
          <w:rFonts w:cs="Arial"/>
          <w:b/>
          <w:szCs w:val="22"/>
        </w:rPr>
      </w:pPr>
      <w:r w:rsidRPr="00FB71D2">
        <w:rPr>
          <w:rFonts w:cs="Arial"/>
          <w:b/>
          <w:szCs w:val="22"/>
        </w:rPr>
        <w:t>6.0</w:t>
      </w:r>
      <w:r w:rsidRPr="00FB71D2">
        <w:rPr>
          <w:rFonts w:cs="Arial"/>
          <w:b/>
          <w:szCs w:val="22"/>
        </w:rPr>
        <w:tab/>
        <w:t>Tasks for the Joint Energy Sector Working Group</w:t>
      </w:r>
    </w:p>
    <w:p w:rsidR="000A07F9" w:rsidRPr="00FB71D2" w:rsidRDefault="000A07F9" w:rsidP="000A07F9">
      <w:pPr>
        <w:numPr>
          <w:ilvl w:val="1"/>
          <w:numId w:val="9"/>
        </w:numPr>
        <w:jc w:val="both"/>
        <w:rPr>
          <w:rFonts w:cs="Arial"/>
          <w:szCs w:val="22"/>
        </w:rPr>
      </w:pPr>
      <w:r w:rsidRPr="00FB71D2">
        <w:rPr>
          <w:rFonts w:cs="Arial"/>
          <w:szCs w:val="22"/>
        </w:rPr>
        <w:t xml:space="preserve">In line with the above outlined objectives and functions, the </w:t>
      </w:r>
      <w:proofErr w:type="spellStart"/>
      <w:r w:rsidRPr="00FB71D2">
        <w:rPr>
          <w:rFonts w:cs="Arial"/>
          <w:szCs w:val="22"/>
        </w:rPr>
        <w:t>JESWG</w:t>
      </w:r>
      <w:proofErr w:type="spellEnd"/>
      <w:r w:rsidRPr="00FB71D2">
        <w:rPr>
          <w:rFonts w:cs="Arial"/>
          <w:szCs w:val="22"/>
        </w:rPr>
        <w:t xml:space="preserve"> working group members will undertake the following tasks:</w:t>
      </w:r>
    </w:p>
    <w:p w:rsidR="000A07F9" w:rsidRPr="00FB71D2" w:rsidRDefault="000A07F9" w:rsidP="000A07F9">
      <w:pPr>
        <w:jc w:val="both"/>
        <w:rPr>
          <w:rFonts w:cs="Arial"/>
          <w:szCs w:val="22"/>
        </w:rPr>
      </w:pPr>
    </w:p>
    <w:p w:rsidR="000A07F9" w:rsidRPr="00FB71D2" w:rsidRDefault="000A07F9" w:rsidP="000A07F9">
      <w:pPr>
        <w:numPr>
          <w:ilvl w:val="0"/>
          <w:numId w:val="10"/>
        </w:numPr>
        <w:tabs>
          <w:tab w:val="clear" w:pos="1080"/>
          <w:tab w:val="num" w:pos="1260"/>
        </w:tabs>
        <w:ind w:left="1260" w:hanging="540"/>
        <w:jc w:val="both"/>
        <w:rPr>
          <w:rFonts w:cs="Arial"/>
          <w:b/>
          <w:szCs w:val="22"/>
        </w:rPr>
      </w:pPr>
      <w:r w:rsidRPr="00FB71D2">
        <w:rPr>
          <w:rFonts w:cs="Arial"/>
          <w:b/>
          <w:szCs w:val="22"/>
        </w:rPr>
        <w:t>Policy and strategy formulation</w:t>
      </w:r>
    </w:p>
    <w:p w:rsidR="000A07F9" w:rsidRPr="00FB71D2" w:rsidRDefault="000A07F9" w:rsidP="000A07F9">
      <w:pPr>
        <w:numPr>
          <w:ilvl w:val="0"/>
          <w:numId w:val="11"/>
        </w:numPr>
        <w:tabs>
          <w:tab w:val="clear" w:pos="720"/>
          <w:tab w:val="num" w:pos="1440"/>
        </w:tabs>
        <w:ind w:left="1800" w:hanging="540"/>
        <w:jc w:val="both"/>
        <w:rPr>
          <w:rFonts w:cs="Arial"/>
          <w:szCs w:val="22"/>
        </w:rPr>
      </w:pPr>
      <w:r w:rsidRPr="00FB71D2">
        <w:rPr>
          <w:rFonts w:cs="Arial"/>
          <w:szCs w:val="22"/>
        </w:rPr>
        <w:t>Provide comments on new energy sector policies, strategies and programmes;</w:t>
      </w:r>
    </w:p>
    <w:p w:rsidR="000A07F9" w:rsidRPr="00FB71D2" w:rsidRDefault="000A07F9" w:rsidP="000A07F9">
      <w:pPr>
        <w:jc w:val="both"/>
        <w:rPr>
          <w:rFonts w:cs="Arial"/>
          <w:szCs w:val="22"/>
        </w:rPr>
      </w:pPr>
    </w:p>
    <w:p w:rsidR="000A07F9" w:rsidRPr="00FB71D2" w:rsidRDefault="000A07F9" w:rsidP="000A07F9">
      <w:pPr>
        <w:numPr>
          <w:ilvl w:val="0"/>
          <w:numId w:val="11"/>
        </w:numPr>
        <w:tabs>
          <w:tab w:val="clear" w:pos="720"/>
          <w:tab w:val="num" w:pos="1440"/>
        </w:tabs>
        <w:ind w:left="1800" w:hanging="540"/>
        <w:jc w:val="both"/>
        <w:rPr>
          <w:rFonts w:cs="Arial"/>
          <w:szCs w:val="22"/>
        </w:rPr>
      </w:pPr>
      <w:r w:rsidRPr="00FB71D2">
        <w:rPr>
          <w:rFonts w:cs="Arial"/>
          <w:szCs w:val="22"/>
        </w:rPr>
        <w:t xml:space="preserve">Establish </w:t>
      </w:r>
      <w:proofErr w:type="spellStart"/>
      <w:r w:rsidRPr="00FB71D2">
        <w:rPr>
          <w:rFonts w:cs="Arial"/>
          <w:szCs w:val="22"/>
        </w:rPr>
        <w:t>SWAp</w:t>
      </w:r>
      <w:proofErr w:type="spellEnd"/>
      <w:r w:rsidRPr="00FB71D2">
        <w:rPr>
          <w:rFonts w:cs="Arial"/>
          <w:szCs w:val="22"/>
        </w:rPr>
        <w:t xml:space="preserve"> arrangements between Government and </w:t>
      </w:r>
      <w:proofErr w:type="spellStart"/>
      <w:r w:rsidRPr="00FB71D2">
        <w:rPr>
          <w:rFonts w:cs="Arial"/>
          <w:szCs w:val="22"/>
        </w:rPr>
        <w:t>DPs</w:t>
      </w:r>
      <w:proofErr w:type="spellEnd"/>
      <w:r w:rsidRPr="00FB71D2">
        <w:rPr>
          <w:rFonts w:cs="Arial"/>
          <w:szCs w:val="22"/>
        </w:rPr>
        <w:t xml:space="preserve"> in order to harmonise Government and DP processes</w:t>
      </w:r>
    </w:p>
    <w:p w:rsidR="000A07F9" w:rsidRPr="00FB71D2" w:rsidRDefault="000A07F9" w:rsidP="000A07F9">
      <w:pPr>
        <w:jc w:val="both"/>
        <w:rPr>
          <w:rFonts w:cs="Arial"/>
          <w:szCs w:val="22"/>
        </w:rPr>
      </w:pPr>
    </w:p>
    <w:p w:rsidR="000A07F9" w:rsidRPr="00FB71D2" w:rsidRDefault="000A07F9" w:rsidP="000A07F9">
      <w:pPr>
        <w:numPr>
          <w:ilvl w:val="0"/>
          <w:numId w:val="10"/>
        </w:numPr>
        <w:tabs>
          <w:tab w:val="clear" w:pos="1080"/>
          <w:tab w:val="num" w:pos="1260"/>
        </w:tabs>
        <w:ind w:left="1260" w:hanging="540"/>
        <w:jc w:val="both"/>
        <w:rPr>
          <w:rFonts w:cs="Arial"/>
          <w:b/>
          <w:szCs w:val="22"/>
        </w:rPr>
      </w:pPr>
      <w:r w:rsidRPr="00FB71D2">
        <w:rPr>
          <w:rFonts w:cs="Arial"/>
          <w:b/>
          <w:szCs w:val="22"/>
        </w:rPr>
        <w:t>Planning and budgeting</w:t>
      </w:r>
    </w:p>
    <w:p w:rsidR="000A07F9" w:rsidRPr="00FB71D2" w:rsidRDefault="000A07F9" w:rsidP="000A07F9">
      <w:pPr>
        <w:numPr>
          <w:ilvl w:val="1"/>
          <w:numId w:val="2"/>
        </w:numPr>
        <w:tabs>
          <w:tab w:val="clear" w:pos="1080"/>
          <w:tab w:val="num" w:pos="1800"/>
        </w:tabs>
        <w:ind w:left="1800" w:hanging="540"/>
        <w:jc w:val="both"/>
        <w:rPr>
          <w:rFonts w:cs="Arial"/>
          <w:szCs w:val="22"/>
        </w:rPr>
      </w:pPr>
      <w:r w:rsidRPr="00FB71D2">
        <w:rPr>
          <w:rFonts w:cs="Arial"/>
          <w:szCs w:val="22"/>
        </w:rPr>
        <w:t>Analyse recommendations from previous reports (e.g. MKUKUTA Annual Implementation Report) and studies as inputs into plans and budgets;</w:t>
      </w:r>
    </w:p>
    <w:p w:rsidR="000A07F9" w:rsidRPr="00FB71D2" w:rsidRDefault="000A07F9" w:rsidP="000A07F9">
      <w:pPr>
        <w:jc w:val="both"/>
        <w:rPr>
          <w:rFonts w:cs="Arial"/>
          <w:szCs w:val="22"/>
        </w:rPr>
      </w:pPr>
    </w:p>
    <w:p w:rsidR="000A07F9" w:rsidRPr="00FB71D2" w:rsidRDefault="000A07F9" w:rsidP="000A07F9">
      <w:pPr>
        <w:numPr>
          <w:ilvl w:val="1"/>
          <w:numId w:val="2"/>
        </w:numPr>
        <w:tabs>
          <w:tab w:val="clear" w:pos="1080"/>
          <w:tab w:val="num" w:pos="1800"/>
        </w:tabs>
        <w:ind w:left="1800" w:hanging="540"/>
        <w:jc w:val="both"/>
        <w:rPr>
          <w:rFonts w:cs="Arial"/>
          <w:szCs w:val="22"/>
        </w:rPr>
      </w:pPr>
      <w:r w:rsidRPr="00FB71D2">
        <w:rPr>
          <w:rFonts w:cs="Arial"/>
          <w:szCs w:val="22"/>
        </w:rPr>
        <w:t>Identify strategic interventions for resource allocation / priority expenditure programmes and activities  (budget priorities, quick wins) at energy sector level in line with energy sector</w:t>
      </w:r>
      <w:r w:rsidRPr="00FB71D2" w:rsidDel="00F922F8">
        <w:rPr>
          <w:rFonts w:cs="Arial"/>
          <w:szCs w:val="22"/>
        </w:rPr>
        <w:t xml:space="preserve"> </w:t>
      </w:r>
      <w:r w:rsidRPr="00FB71D2">
        <w:rPr>
          <w:rFonts w:cs="Arial"/>
          <w:szCs w:val="22"/>
        </w:rPr>
        <w:t>strategies and MKUKUTA and propose them to the Cluster Working Group 1 (CWG1) and the Planning and Budget Guidelines Committee (</w:t>
      </w:r>
      <w:proofErr w:type="spellStart"/>
      <w:r w:rsidRPr="00FB71D2">
        <w:rPr>
          <w:rFonts w:cs="Arial"/>
          <w:szCs w:val="22"/>
        </w:rPr>
        <w:t>PBGC</w:t>
      </w:r>
      <w:proofErr w:type="spellEnd"/>
      <w:r w:rsidRPr="00FB71D2">
        <w:rPr>
          <w:rFonts w:cs="Arial"/>
          <w:szCs w:val="22"/>
        </w:rPr>
        <w:t>) as inputs for budget guidelines preparation;</w:t>
      </w:r>
    </w:p>
    <w:p w:rsidR="000A07F9" w:rsidRPr="00FB71D2" w:rsidRDefault="000A07F9" w:rsidP="000A07F9">
      <w:pPr>
        <w:jc w:val="both"/>
        <w:rPr>
          <w:rFonts w:cs="Arial"/>
          <w:szCs w:val="22"/>
        </w:rPr>
      </w:pPr>
    </w:p>
    <w:p w:rsidR="000A07F9" w:rsidRPr="00FB71D2" w:rsidRDefault="000A07F9" w:rsidP="000A07F9">
      <w:pPr>
        <w:numPr>
          <w:ilvl w:val="1"/>
          <w:numId w:val="2"/>
        </w:numPr>
        <w:tabs>
          <w:tab w:val="clear" w:pos="1080"/>
          <w:tab w:val="num" w:pos="1800"/>
        </w:tabs>
        <w:ind w:left="1800" w:hanging="540"/>
        <w:jc w:val="both"/>
        <w:rPr>
          <w:rFonts w:cs="Arial"/>
          <w:szCs w:val="22"/>
        </w:rPr>
      </w:pPr>
      <w:r w:rsidRPr="00FB71D2">
        <w:rPr>
          <w:rFonts w:cs="Arial"/>
          <w:szCs w:val="22"/>
        </w:rPr>
        <w:t>Analyse resource requirements and predictability for implementing energy sector policies, strategies and programmes;</w:t>
      </w:r>
    </w:p>
    <w:p w:rsidR="000A07F9" w:rsidRPr="00FB71D2" w:rsidRDefault="000A07F9" w:rsidP="000A07F9">
      <w:pPr>
        <w:jc w:val="both"/>
        <w:rPr>
          <w:rFonts w:cs="Arial"/>
          <w:szCs w:val="22"/>
        </w:rPr>
      </w:pPr>
    </w:p>
    <w:p w:rsidR="000A07F9" w:rsidRPr="00FB71D2" w:rsidRDefault="000A07F9" w:rsidP="000A07F9">
      <w:pPr>
        <w:numPr>
          <w:ilvl w:val="1"/>
          <w:numId w:val="2"/>
        </w:numPr>
        <w:tabs>
          <w:tab w:val="clear" w:pos="1080"/>
          <w:tab w:val="num" w:pos="1800"/>
        </w:tabs>
        <w:ind w:left="1800" w:hanging="540"/>
        <w:jc w:val="both"/>
        <w:rPr>
          <w:rFonts w:cs="Arial"/>
          <w:szCs w:val="22"/>
        </w:rPr>
      </w:pPr>
      <w:proofErr w:type="spellStart"/>
      <w:r w:rsidRPr="00FB71D2">
        <w:rPr>
          <w:rFonts w:cs="Arial"/>
          <w:szCs w:val="22"/>
        </w:rPr>
        <w:t>DPs</w:t>
      </w:r>
      <w:proofErr w:type="spellEnd"/>
      <w:r w:rsidRPr="00FB71D2">
        <w:rPr>
          <w:rFonts w:cs="Arial"/>
          <w:szCs w:val="22"/>
        </w:rPr>
        <w:t xml:space="preserve"> discuss and agree with </w:t>
      </w:r>
      <w:proofErr w:type="spellStart"/>
      <w:r w:rsidRPr="00FB71D2">
        <w:rPr>
          <w:rFonts w:cs="Arial"/>
          <w:szCs w:val="22"/>
        </w:rPr>
        <w:t>MDAs</w:t>
      </w:r>
      <w:proofErr w:type="spellEnd"/>
      <w:r w:rsidRPr="00FB71D2">
        <w:rPr>
          <w:rFonts w:cs="Arial"/>
          <w:szCs w:val="22"/>
        </w:rPr>
        <w:t xml:space="preserve"> on their external resource projections for the three-year (</w:t>
      </w:r>
      <w:proofErr w:type="spellStart"/>
      <w:r w:rsidRPr="00FB71D2">
        <w:rPr>
          <w:rFonts w:cs="Arial"/>
          <w:szCs w:val="22"/>
        </w:rPr>
        <w:t>MTEF</w:t>
      </w:r>
      <w:proofErr w:type="spellEnd"/>
      <w:r w:rsidRPr="00FB71D2">
        <w:rPr>
          <w:rFonts w:cs="Arial"/>
          <w:szCs w:val="22"/>
        </w:rPr>
        <w:t xml:space="preserve">) period </w:t>
      </w:r>
    </w:p>
    <w:p w:rsidR="000A07F9" w:rsidRPr="00FB71D2" w:rsidRDefault="000A07F9" w:rsidP="000A07F9">
      <w:pPr>
        <w:ind w:left="360"/>
        <w:jc w:val="both"/>
        <w:rPr>
          <w:rFonts w:cs="Arial"/>
          <w:szCs w:val="22"/>
        </w:rPr>
      </w:pPr>
    </w:p>
    <w:p w:rsidR="000A07F9" w:rsidRPr="00FB71D2" w:rsidRDefault="000A07F9" w:rsidP="000A07F9">
      <w:pPr>
        <w:numPr>
          <w:ilvl w:val="0"/>
          <w:numId w:val="10"/>
        </w:numPr>
        <w:tabs>
          <w:tab w:val="clear" w:pos="1080"/>
          <w:tab w:val="num" w:pos="1260"/>
        </w:tabs>
        <w:ind w:left="1260" w:hanging="540"/>
        <w:jc w:val="both"/>
        <w:rPr>
          <w:rFonts w:cs="Arial"/>
          <w:b/>
          <w:szCs w:val="22"/>
        </w:rPr>
      </w:pPr>
      <w:r w:rsidRPr="00FB71D2">
        <w:rPr>
          <w:rFonts w:cs="Arial"/>
          <w:b/>
          <w:szCs w:val="22"/>
        </w:rPr>
        <w:t>Monitoring and evaluation</w:t>
      </w:r>
    </w:p>
    <w:p w:rsidR="000A07F9" w:rsidRPr="00FB71D2" w:rsidRDefault="000A07F9" w:rsidP="000A07F9">
      <w:pPr>
        <w:jc w:val="both"/>
        <w:rPr>
          <w:rFonts w:cs="Arial"/>
          <w:szCs w:val="22"/>
        </w:rPr>
      </w:pPr>
    </w:p>
    <w:p w:rsidR="000A07F9" w:rsidRPr="00FB71D2" w:rsidRDefault="000A07F9" w:rsidP="000A07F9">
      <w:pPr>
        <w:ind w:left="1260"/>
        <w:jc w:val="both"/>
        <w:rPr>
          <w:rFonts w:cs="Arial"/>
          <w:szCs w:val="22"/>
        </w:rPr>
      </w:pPr>
      <w:r w:rsidRPr="00FB71D2">
        <w:rPr>
          <w:rFonts w:cs="Arial"/>
          <w:szCs w:val="22"/>
        </w:rPr>
        <w:t xml:space="preserve">The </w:t>
      </w:r>
      <w:proofErr w:type="spellStart"/>
      <w:r w:rsidRPr="00FB71D2">
        <w:rPr>
          <w:rFonts w:cs="Arial"/>
          <w:szCs w:val="22"/>
        </w:rPr>
        <w:t>JESWG</w:t>
      </w:r>
      <w:proofErr w:type="spellEnd"/>
      <w:r w:rsidRPr="00FB71D2">
        <w:rPr>
          <w:rFonts w:cs="Arial"/>
          <w:szCs w:val="22"/>
        </w:rPr>
        <w:t xml:space="preserve"> will monitor, review and report on the energy sector performance in terms of the following: </w:t>
      </w:r>
    </w:p>
    <w:p w:rsidR="000A07F9" w:rsidRPr="00FB71D2" w:rsidRDefault="000A07F9" w:rsidP="000A07F9">
      <w:pPr>
        <w:ind w:left="1260"/>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lastRenderedPageBreak/>
        <w:t xml:space="preserve">Alignment of </w:t>
      </w:r>
      <w:proofErr w:type="spellStart"/>
      <w:r w:rsidRPr="00FB71D2">
        <w:rPr>
          <w:rFonts w:cs="Arial"/>
          <w:szCs w:val="22"/>
        </w:rPr>
        <w:t>MDA</w:t>
      </w:r>
      <w:proofErr w:type="spellEnd"/>
      <w:r w:rsidRPr="00FB71D2">
        <w:rPr>
          <w:rFonts w:cs="Arial"/>
          <w:szCs w:val="22"/>
        </w:rPr>
        <w:t xml:space="preserve"> activities with energy sector policies, strategies and</w:t>
      </w:r>
      <w:r w:rsidRPr="00FB71D2" w:rsidDel="00BB73E3">
        <w:rPr>
          <w:rFonts w:cs="Arial"/>
          <w:szCs w:val="22"/>
        </w:rPr>
        <w:t xml:space="preserve"> </w:t>
      </w:r>
      <w:r w:rsidRPr="00FB71D2">
        <w:rPr>
          <w:rFonts w:cs="Arial"/>
          <w:szCs w:val="22"/>
        </w:rPr>
        <w:t>programmes and MKUKUTA goals and targets;</w:t>
      </w: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Consistency of actual expenditures with plans and budgets;</w:t>
      </w: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Results (progress, challenges / constraints) in implementing energy sector policies, strategies and programmes, including service delivery ;</w:t>
      </w: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Progress on MKUKUTA goals and targets;</w:t>
      </w:r>
    </w:p>
    <w:p w:rsidR="000A07F9" w:rsidRPr="00FB71D2" w:rsidRDefault="000A07F9" w:rsidP="000A07F9">
      <w:pPr>
        <w:jc w:val="both"/>
        <w:rPr>
          <w:rFonts w:cs="Arial"/>
          <w:szCs w:val="22"/>
        </w:rPr>
      </w:pP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 xml:space="preserve">Implementation of </w:t>
      </w:r>
      <w:proofErr w:type="spellStart"/>
      <w:r w:rsidRPr="00FB71D2">
        <w:rPr>
          <w:rFonts w:cs="Arial"/>
          <w:szCs w:val="22"/>
        </w:rPr>
        <w:t>GBS</w:t>
      </w:r>
      <w:proofErr w:type="spellEnd"/>
      <w:r w:rsidRPr="00FB71D2">
        <w:rPr>
          <w:rFonts w:cs="Arial"/>
          <w:szCs w:val="22"/>
        </w:rPr>
        <w:t xml:space="preserve"> commitments as outlined in the </w:t>
      </w:r>
      <w:proofErr w:type="spellStart"/>
      <w:r w:rsidRPr="00FB71D2">
        <w:rPr>
          <w:rFonts w:cs="Arial"/>
          <w:szCs w:val="22"/>
        </w:rPr>
        <w:t>GBS</w:t>
      </w:r>
      <w:proofErr w:type="spellEnd"/>
      <w:r w:rsidRPr="00FB71D2">
        <w:rPr>
          <w:rFonts w:cs="Arial"/>
          <w:szCs w:val="22"/>
        </w:rPr>
        <w:t xml:space="preserve"> Partnership Framework Memorandum and the </w:t>
      </w:r>
      <w:proofErr w:type="spellStart"/>
      <w:r w:rsidRPr="00FB71D2">
        <w:rPr>
          <w:rFonts w:cs="Arial"/>
          <w:szCs w:val="22"/>
        </w:rPr>
        <w:t>PAF</w:t>
      </w:r>
      <w:proofErr w:type="spellEnd"/>
      <w:r w:rsidRPr="00FB71D2">
        <w:rPr>
          <w:rFonts w:cs="Arial"/>
          <w:szCs w:val="22"/>
        </w:rPr>
        <w:t xml:space="preserve"> matrix;</w:t>
      </w: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 xml:space="preserve">Implementation of Government and DP commitments in terms of </w:t>
      </w:r>
      <w:proofErr w:type="spellStart"/>
      <w:r w:rsidRPr="00FB71D2">
        <w:rPr>
          <w:rFonts w:cs="Arial"/>
          <w:szCs w:val="22"/>
        </w:rPr>
        <w:t>JAST</w:t>
      </w:r>
      <w:proofErr w:type="spellEnd"/>
      <w:r w:rsidRPr="00FB71D2">
        <w:rPr>
          <w:rFonts w:cs="Arial"/>
          <w:szCs w:val="22"/>
        </w:rPr>
        <w:t xml:space="preserve"> actions;</w:t>
      </w:r>
    </w:p>
    <w:p w:rsidR="000A07F9" w:rsidRPr="00FB71D2" w:rsidRDefault="000A07F9" w:rsidP="000A07F9">
      <w:pPr>
        <w:jc w:val="both"/>
        <w:rPr>
          <w:rFonts w:cs="Arial"/>
          <w:szCs w:val="22"/>
        </w:rPr>
      </w:pPr>
    </w:p>
    <w:p w:rsidR="000A07F9" w:rsidRPr="00FB71D2" w:rsidRDefault="000A07F9" w:rsidP="000A07F9">
      <w:pPr>
        <w:numPr>
          <w:ilvl w:val="0"/>
          <w:numId w:val="12"/>
        </w:numPr>
        <w:tabs>
          <w:tab w:val="clear" w:pos="720"/>
          <w:tab w:val="num" w:pos="1800"/>
        </w:tabs>
        <w:ind w:left="1800" w:hanging="540"/>
        <w:jc w:val="both"/>
        <w:rPr>
          <w:rFonts w:cs="Arial"/>
          <w:szCs w:val="22"/>
        </w:rPr>
      </w:pPr>
      <w:r w:rsidRPr="00FB71D2">
        <w:rPr>
          <w:rFonts w:cs="Arial"/>
          <w:szCs w:val="22"/>
        </w:rPr>
        <w:t>Implementation of recommendations from studies, reports and previous annual energy sector reviews.</w:t>
      </w:r>
    </w:p>
    <w:p w:rsidR="000A07F9" w:rsidRPr="00FB71D2" w:rsidRDefault="000A07F9" w:rsidP="000A07F9">
      <w:pPr>
        <w:ind w:left="360"/>
        <w:jc w:val="both"/>
        <w:rPr>
          <w:rFonts w:cs="Arial"/>
          <w:szCs w:val="22"/>
        </w:rPr>
      </w:pPr>
    </w:p>
    <w:p w:rsidR="000A07F9" w:rsidRPr="00FB71D2" w:rsidRDefault="000A07F9" w:rsidP="000A07F9">
      <w:pPr>
        <w:ind w:left="1260"/>
        <w:jc w:val="both"/>
        <w:rPr>
          <w:rFonts w:cs="Arial"/>
          <w:szCs w:val="22"/>
        </w:rPr>
      </w:pPr>
      <w:r w:rsidRPr="00FB71D2">
        <w:rPr>
          <w:rFonts w:cs="Arial"/>
          <w:szCs w:val="22"/>
        </w:rPr>
        <w:t xml:space="preserve">For this purpose, </w:t>
      </w:r>
      <w:proofErr w:type="spellStart"/>
      <w:r w:rsidRPr="00FB71D2">
        <w:rPr>
          <w:rFonts w:cs="Arial"/>
          <w:szCs w:val="22"/>
        </w:rPr>
        <w:t>JESWG</w:t>
      </w:r>
      <w:proofErr w:type="spellEnd"/>
      <w:r w:rsidRPr="00FB71D2">
        <w:rPr>
          <w:rFonts w:cs="Arial"/>
          <w:szCs w:val="22"/>
        </w:rPr>
        <w:t xml:space="preserve"> members will gather and record reliable and timely data and information. Findings will then be fed into relevant processes and will be reported on in annual energy sector progress reports. </w:t>
      </w:r>
    </w:p>
    <w:p w:rsidR="000A07F9" w:rsidRPr="00FB71D2" w:rsidRDefault="000A07F9" w:rsidP="000A07F9">
      <w:pPr>
        <w:jc w:val="both"/>
        <w:rPr>
          <w:rFonts w:cs="Arial"/>
          <w:szCs w:val="22"/>
        </w:rPr>
      </w:pPr>
    </w:p>
    <w:p w:rsidR="000A07F9" w:rsidRPr="00FB71D2" w:rsidRDefault="000A07F9" w:rsidP="000A07F9">
      <w:pPr>
        <w:numPr>
          <w:ilvl w:val="0"/>
          <w:numId w:val="10"/>
        </w:numPr>
        <w:tabs>
          <w:tab w:val="clear" w:pos="1080"/>
          <w:tab w:val="num" w:pos="1260"/>
        </w:tabs>
        <w:ind w:left="1260" w:hanging="540"/>
        <w:jc w:val="both"/>
        <w:rPr>
          <w:rFonts w:cs="Arial"/>
          <w:b/>
          <w:szCs w:val="22"/>
        </w:rPr>
      </w:pPr>
      <w:r w:rsidRPr="00FB71D2">
        <w:rPr>
          <w:rFonts w:cs="Arial"/>
          <w:b/>
          <w:szCs w:val="22"/>
        </w:rPr>
        <w:t>Studies and analysis</w:t>
      </w:r>
    </w:p>
    <w:p w:rsidR="000A07F9" w:rsidRPr="00FB71D2" w:rsidRDefault="000A07F9" w:rsidP="000A07F9">
      <w:pPr>
        <w:numPr>
          <w:ilvl w:val="0"/>
          <w:numId w:val="13"/>
        </w:numPr>
        <w:tabs>
          <w:tab w:val="clear" w:pos="720"/>
          <w:tab w:val="num" w:pos="1800"/>
        </w:tabs>
        <w:ind w:left="1800" w:hanging="540"/>
        <w:jc w:val="both"/>
        <w:rPr>
          <w:rFonts w:cs="Arial"/>
          <w:szCs w:val="22"/>
        </w:rPr>
      </w:pPr>
      <w:r w:rsidRPr="00FB71D2">
        <w:rPr>
          <w:rFonts w:cs="Arial"/>
          <w:szCs w:val="22"/>
        </w:rPr>
        <w:t>Identify strategic areas of interest for studies (PER / MKUKUTA studies) to inform policies, strategies and budget preparation and propose them to the Cluster Working Group; and</w:t>
      </w:r>
    </w:p>
    <w:p w:rsidR="000A07F9" w:rsidRPr="00FB71D2" w:rsidRDefault="000A07F9" w:rsidP="000A07F9">
      <w:pPr>
        <w:jc w:val="both"/>
        <w:rPr>
          <w:rFonts w:cs="Arial"/>
          <w:szCs w:val="22"/>
        </w:rPr>
      </w:pPr>
    </w:p>
    <w:p w:rsidR="000A07F9" w:rsidRPr="00FB71D2" w:rsidRDefault="000A07F9" w:rsidP="000A07F9">
      <w:pPr>
        <w:numPr>
          <w:ilvl w:val="0"/>
          <w:numId w:val="13"/>
        </w:numPr>
        <w:tabs>
          <w:tab w:val="clear" w:pos="720"/>
          <w:tab w:val="num" w:pos="1800"/>
        </w:tabs>
        <w:ind w:left="1800" w:hanging="540"/>
        <w:jc w:val="both"/>
        <w:rPr>
          <w:rFonts w:cs="Arial"/>
          <w:szCs w:val="22"/>
        </w:rPr>
      </w:pPr>
      <w:r w:rsidRPr="00FB71D2">
        <w:rPr>
          <w:rFonts w:cs="Arial"/>
          <w:szCs w:val="22"/>
        </w:rPr>
        <w:t xml:space="preserve">Discuss and review findings and recommendations of sector, cluster or national level reports and studies in order to assess their appropriateness as inputs into policy, planning and budgeting processes. </w:t>
      </w:r>
    </w:p>
    <w:p w:rsidR="000A07F9" w:rsidRPr="00FB71D2" w:rsidRDefault="000A07F9" w:rsidP="000A07F9">
      <w:pPr>
        <w:jc w:val="both"/>
        <w:rPr>
          <w:rFonts w:cs="Arial"/>
          <w:szCs w:val="22"/>
        </w:rPr>
      </w:pPr>
    </w:p>
    <w:p w:rsidR="000A07F9" w:rsidRPr="00FB71D2" w:rsidRDefault="000A07F9" w:rsidP="000A07F9">
      <w:pPr>
        <w:numPr>
          <w:ilvl w:val="1"/>
          <w:numId w:val="9"/>
        </w:numPr>
        <w:jc w:val="both"/>
        <w:rPr>
          <w:rFonts w:cs="Arial"/>
          <w:szCs w:val="22"/>
        </w:rPr>
      </w:pPr>
      <w:r w:rsidRPr="00FB71D2">
        <w:rPr>
          <w:rFonts w:cs="Arial"/>
          <w:szCs w:val="22"/>
        </w:rPr>
        <w:t xml:space="preserve">In addition to the above listed tasks, an </w:t>
      </w:r>
      <w:r w:rsidRPr="00FB71D2">
        <w:rPr>
          <w:rFonts w:cs="Arial"/>
          <w:b/>
          <w:szCs w:val="22"/>
        </w:rPr>
        <w:t xml:space="preserve">annual review </w:t>
      </w:r>
      <w:r w:rsidRPr="00FB71D2">
        <w:rPr>
          <w:rFonts w:cs="Arial"/>
          <w:szCs w:val="22"/>
        </w:rPr>
        <w:t>will be undertaken with the following tasks:</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Identify and focus on different (strategic) key issues each year;</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Undertake more comprehensive review of a particular energy sector policy, strategy or programme at mid-term or end of their implementation in order to provide inputs for new policy,  strategy or programme formulation;</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Discuss findings and recommendations from relevant studies and reports at national, cluster or energy sector level;</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Assess whether recommendations from the previous annual review have been implemented and recommend next steps;</w:t>
      </w:r>
    </w:p>
    <w:p w:rsidR="000A07F9" w:rsidRPr="00FB71D2" w:rsidRDefault="000A07F9" w:rsidP="000A07F9">
      <w:pPr>
        <w:ind w:left="360"/>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Bring discussions and findings from ongoing dialogue throughout the year together to reach final conclusions for the year in terms of energy sector performance – identify achievements, challenges/constraints and way forward;</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lastRenderedPageBreak/>
        <w:t>Identify priorities going forward to inform the budget guidelines and budget preparation;</w:t>
      </w:r>
    </w:p>
    <w:p w:rsidR="000A07F9" w:rsidRPr="00FB71D2" w:rsidRDefault="000A07F9" w:rsidP="000A07F9">
      <w:pPr>
        <w:jc w:val="both"/>
        <w:rPr>
          <w:rFonts w:cs="Arial"/>
          <w:szCs w:val="22"/>
        </w:rPr>
      </w:pP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Evaluate the quality and effectiveness of the ongoing dialogue process throughout the year, including stakeholder participation and information sharing (timeliness and appropriateness of information);</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Evaluate the quality and timeliness of monitoring and evaluation systems and progress reporting; and</w:t>
      </w:r>
    </w:p>
    <w:p w:rsidR="000A07F9" w:rsidRPr="00FB71D2" w:rsidRDefault="000A07F9" w:rsidP="000A07F9">
      <w:pPr>
        <w:jc w:val="both"/>
        <w:rPr>
          <w:rFonts w:cs="Arial"/>
          <w:szCs w:val="22"/>
        </w:rPr>
      </w:pPr>
    </w:p>
    <w:p w:rsidR="000A07F9" w:rsidRPr="00FB71D2" w:rsidRDefault="000A07F9" w:rsidP="000A07F9">
      <w:pPr>
        <w:numPr>
          <w:ilvl w:val="0"/>
          <w:numId w:val="14"/>
        </w:numPr>
        <w:tabs>
          <w:tab w:val="clear" w:pos="1080"/>
          <w:tab w:val="num" w:pos="1260"/>
        </w:tabs>
        <w:ind w:left="1260" w:hanging="540"/>
        <w:jc w:val="both"/>
        <w:rPr>
          <w:rFonts w:cs="Arial"/>
          <w:szCs w:val="22"/>
        </w:rPr>
      </w:pPr>
      <w:r w:rsidRPr="00FB71D2">
        <w:rPr>
          <w:rFonts w:cs="Arial"/>
          <w:szCs w:val="22"/>
        </w:rPr>
        <w:t>Produce annual review report (energy sector progress report), which will serve as input to cluster and national processes.</w:t>
      </w:r>
    </w:p>
    <w:p w:rsidR="000A07F9" w:rsidRPr="00FB71D2" w:rsidRDefault="000A07F9" w:rsidP="000A07F9">
      <w:pPr>
        <w:jc w:val="both"/>
        <w:rPr>
          <w:rFonts w:cs="Arial"/>
          <w:szCs w:val="22"/>
        </w:rPr>
      </w:pPr>
    </w:p>
    <w:p w:rsidR="000A07F9" w:rsidRPr="00FB71D2" w:rsidRDefault="000A07F9" w:rsidP="000A07F9">
      <w:pPr>
        <w:jc w:val="both"/>
        <w:rPr>
          <w:rFonts w:cs="Arial"/>
          <w:b/>
          <w:szCs w:val="22"/>
        </w:rPr>
      </w:pPr>
      <w:r w:rsidRPr="00FB71D2">
        <w:rPr>
          <w:rFonts w:cs="Arial"/>
          <w:b/>
          <w:szCs w:val="22"/>
        </w:rPr>
        <w:t>6.3</w:t>
      </w:r>
      <w:r w:rsidRPr="00FB71D2">
        <w:rPr>
          <w:rFonts w:cs="Arial"/>
          <w:b/>
          <w:szCs w:val="22"/>
        </w:rPr>
        <w:tab/>
        <w:t>Outputs</w:t>
      </w:r>
    </w:p>
    <w:p w:rsidR="000A07F9" w:rsidRPr="00FB71D2" w:rsidRDefault="000A07F9" w:rsidP="000A07F9">
      <w:pPr>
        <w:jc w:val="both"/>
        <w:rPr>
          <w:rFonts w:cs="Arial"/>
          <w:szCs w:val="22"/>
        </w:rPr>
      </w:pPr>
    </w:p>
    <w:p w:rsidR="000A07F9" w:rsidRPr="00FB71D2" w:rsidRDefault="000A07F9" w:rsidP="000A07F9">
      <w:pPr>
        <w:ind w:left="720"/>
        <w:jc w:val="both"/>
        <w:rPr>
          <w:rFonts w:cs="Arial"/>
          <w:szCs w:val="22"/>
        </w:rPr>
      </w:pPr>
      <w:r w:rsidRPr="00FB71D2">
        <w:rPr>
          <w:rFonts w:cs="Arial"/>
          <w:szCs w:val="22"/>
        </w:rPr>
        <w:t xml:space="preserve">In line with the above listed tasks, the </w:t>
      </w:r>
      <w:proofErr w:type="spellStart"/>
      <w:r w:rsidRPr="00FB71D2">
        <w:rPr>
          <w:rFonts w:cs="Arial"/>
          <w:szCs w:val="22"/>
        </w:rPr>
        <w:t>JESWG</w:t>
      </w:r>
      <w:proofErr w:type="spellEnd"/>
      <w:r w:rsidRPr="00FB71D2">
        <w:rPr>
          <w:rFonts w:cs="Arial"/>
          <w:szCs w:val="22"/>
        </w:rPr>
        <w:t xml:space="preserve"> will produce the following outputs:</w:t>
      </w:r>
    </w:p>
    <w:p w:rsidR="000A07F9" w:rsidRPr="00FB71D2" w:rsidRDefault="000A07F9" w:rsidP="000A07F9">
      <w:pPr>
        <w:ind w:left="720"/>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Energy sector programmes and inputs to Energy Sector Policies and Strategies;</w:t>
      </w:r>
    </w:p>
    <w:p w:rsidR="000A07F9" w:rsidRPr="00FB71D2" w:rsidRDefault="000A07F9" w:rsidP="000A07F9">
      <w:pPr>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Identified strategic interventions at energy sector level, which serve as inputs to budget guidelines preparation;</w:t>
      </w:r>
    </w:p>
    <w:p w:rsidR="000A07F9" w:rsidRPr="00FB71D2" w:rsidRDefault="000A07F9" w:rsidP="000A07F9">
      <w:pPr>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 xml:space="preserve">External resource projections for the three-year </w:t>
      </w:r>
      <w:proofErr w:type="spellStart"/>
      <w:r w:rsidRPr="00FB71D2">
        <w:rPr>
          <w:rFonts w:cs="Arial"/>
          <w:szCs w:val="22"/>
        </w:rPr>
        <w:t>MTEF</w:t>
      </w:r>
      <w:proofErr w:type="spellEnd"/>
      <w:r w:rsidRPr="00FB71D2">
        <w:rPr>
          <w:rFonts w:cs="Arial"/>
          <w:szCs w:val="22"/>
        </w:rPr>
        <w:t xml:space="preserve"> period;</w:t>
      </w:r>
    </w:p>
    <w:p w:rsidR="000A07F9" w:rsidRPr="00FB71D2" w:rsidRDefault="000A07F9" w:rsidP="000A07F9">
      <w:pPr>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Reports on energy sector performance in terms of:</w:t>
      </w:r>
    </w:p>
    <w:p w:rsidR="000A07F9" w:rsidRPr="00FB71D2" w:rsidRDefault="000A07F9" w:rsidP="000A07F9">
      <w:pPr>
        <w:jc w:val="both"/>
        <w:rPr>
          <w:rFonts w:cs="Arial"/>
          <w:szCs w:val="22"/>
        </w:rPr>
      </w:pPr>
    </w:p>
    <w:p w:rsidR="000A07F9" w:rsidRPr="00FB71D2" w:rsidRDefault="000A07F9" w:rsidP="000A07F9">
      <w:pPr>
        <w:numPr>
          <w:ilvl w:val="1"/>
          <w:numId w:val="16"/>
        </w:numPr>
        <w:tabs>
          <w:tab w:val="clear" w:pos="1440"/>
          <w:tab w:val="num" w:pos="1800"/>
        </w:tabs>
        <w:ind w:left="1800" w:hanging="540"/>
        <w:jc w:val="both"/>
        <w:rPr>
          <w:rFonts w:cs="Arial"/>
          <w:szCs w:val="22"/>
        </w:rPr>
      </w:pPr>
      <w:r w:rsidRPr="00FB71D2">
        <w:rPr>
          <w:rFonts w:cs="Arial"/>
          <w:szCs w:val="22"/>
        </w:rPr>
        <w:t xml:space="preserve">MKUKUTA implementation, which serve as inputs into annual MKUKUTA progress reporting, including MKUKUTA Annual Implementation Report, biennial MKUKUTA Status Report and Poverty and Human Development Report; </w:t>
      </w:r>
    </w:p>
    <w:p w:rsidR="000A07F9" w:rsidRPr="00FB71D2" w:rsidRDefault="000A07F9" w:rsidP="000A07F9">
      <w:pPr>
        <w:jc w:val="both"/>
        <w:rPr>
          <w:rFonts w:cs="Arial"/>
          <w:szCs w:val="22"/>
        </w:rPr>
      </w:pPr>
    </w:p>
    <w:p w:rsidR="000A07F9" w:rsidRPr="00FB71D2" w:rsidRDefault="000A07F9" w:rsidP="000A07F9">
      <w:pPr>
        <w:numPr>
          <w:ilvl w:val="1"/>
          <w:numId w:val="16"/>
        </w:numPr>
        <w:tabs>
          <w:tab w:val="clear" w:pos="1440"/>
          <w:tab w:val="num" w:pos="1800"/>
        </w:tabs>
        <w:ind w:left="1800" w:hanging="540"/>
        <w:jc w:val="both"/>
        <w:rPr>
          <w:rFonts w:cs="Arial"/>
          <w:szCs w:val="22"/>
        </w:rPr>
      </w:pPr>
      <w:proofErr w:type="spellStart"/>
      <w:r w:rsidRPr="00FB71D2">
        <w:rPr>
          <w:rFonts w:cs="Arial"/>
          <w:szCs w:val="22"/>
        </w:rPr>
        <w:t>JAST</w:t>
      </w:r>
      <w:proofErr w:type="spellEnd"/>
      <w:r w:rsidRPr="00FB71D2">
        <w:rPr>
          <w:rFonts w:cs="Arial"/>
          <w:szCs w:val="22"/>
        </w:rPr>
        <w:t xml:space="preserve"> implementation, which serve as inputs to </w:t>
      </w:r>
      <w:proofErr w:type="spellStart"/>
      <w:r w:rsidRPr="00FB71D2">
        <w:rPr>
          <w:rFonts w:cs="Arial"/>
          <w:szCs w:val="22"/>
        </w:rPr>
        <w:t>JAST</w:t>
      </w:r>
      <w:proofErr w:type="spellEnd"/>
      <w:r w:rsidRPr="00FB71D2">
        <w:rPr>
          <w:rFonts w:cs="Arial"/>
          <w:szCs w:val="22"/>
        </w:rPr>
        <w:t xml:space="preserve"> review and annual progress report;</w:t>
      </w:r>
    </w:p>
    <w:p w:rsidR="000A07F9" w:rsidRPr="00FB71D2" w:rsidRDefault="000A07F9" w:rsidP="000A07F9">
      <w:pPr>
        <w:jc w:val="both"/>
        <w:rPr>
          <w:rFonts w:cs="Arial"/>
          <w:szCs w:val="22"/>
        </w:rPr>
      </w:pPr>
    </w:p>
    <w:p w:rsidR="000A07F9" w:rsidRPr="00FB71D2" w:rsidRDefault="000A07F9" w:rsidP="000A07F9">
      <w:pPr>
        <w:numPr>
          <w:ilvl w:val="1"/>
          <w:numId w:val="16"/>
        </w:numPr>
        <w:tabs>
          <w:tab w:val="clear" w:pos="1440"/>
          <w:tab w:val="num" w:pos="1800"/>
        </w:tabs>
        <w:ind w:left="1800" w:hanging="540"/>
        <w:jc w:val="both"/>
        <w:rPr>
          <w:rFonts w:cs="Arial"/>
          <w:szCs w:val="22"/>
        </w:rPr>
      </w:pPr>
      <w:r w:rsidRPr="00FB71D2">
        <w:rPr>
          <w:rFonts w:cs="Arial"/>
          <w:szCs w:val="22"/>
        </w:rPr>
        <w:t xml:space="preserve">Progress against </w:t>
      </w:r>
      <w:proofErr w:type="spellStart"/>
      <w:r w:rsidRPr="00FB71D2">
        <w:rPr>
          <w:rFonts w:cs="Arial"/>
          <w:szCs w:val="22"/>
        </w:rPr>
        <w:t>GBS</w:t>
      </w:r>
      <w:proofErr w:type="spellEnd"/>
      <w:r w:rsidRPr="00FB71D2">
        <w:rPr>
          <w:rFonts w:cs="Arial"/>
          <w:szCs w:val="22"/>
        </w:rPr>
        <w:t xml:space="preserve"> </w:t>
      </w:r>
      <w:proofErr w:type="spellStart"/>
      <w:r w:rsidRPr="00FB71D2">
        <w:rPr>
          <w:rFonts w:cs="Arial"/>
          <w:szCs w:val="22"/>
        </w:rPr>
        <w:t>PAF</w:t>
      </w:r>
      <w:proofErr w:type="spellEnd"/>
      <w:r w:rsidRPr="00FB71D2">
        <w:rPr>
          <w:rFonts w:cs="Arial"/>
          <w:szCs w:val="22"/>
        </w:rPr>
        <w:t xml:space="preserve"> matrix, which serve as inputs to </w:t>
      </w:r>
      <w:proofErr w:type="spellStart"/>
      <w:r w:rsidRPr="00FB71D2">
        <w:rPr>
          <w:rFonts w:cs="Arial"/>
          <w:szCs w:val="22"/>
        </w:rPr>
        <w:t>GBS</w:t>
      </w:r>
      <w:proofErr w:type="spellEnd"/>
      <w:r w:rsidRPr="00FB71D2">
        <w:rPr>
          <w:rFonts w:cs="Arial"/>
          <w:szCs w:val="22"/>
        </w:rPr>
        <w:t xml:space="preserve"> annual review incl. </w:t>
      </w:r>
      <w:proofErr w:type="spellStart"/>
      <w:r w:rsidRPr="00FB71D2">
        <w:rPr>
          <w:rFonts w:cs="Arial"/>
          <w:szCs w:val="22"/>
        </w:rPr>
        <w:t>CWG</w:t>
      </w:r>
      <w:proofErr w:type="spellEnd"/>
      <w:r w:rsidRPr="00FB71D2">
        <w:rPr>
          <w:rFonts w:cs="Arial"/>
          <w:szCs w:val="22"/>
        </w:rPr>
        <w:t xml:space="preserve"> progress reports against </w:t>
      </w:r>
      <w:proofErr w:type="spellStart"/>
      <w:r w:rsidRPr="00FB71D2">
        <w:rPr>
          <w:rFonts w:cs="Arial"/>
          <w:szCs w:val="22"/>
        </w:rPr>
        <w:t>PAF</w:t>
      </w:r>
      <w:proofErr w:type="spellEnd"/>
      <w:r w:rsidRPr="00FB71D2">
        <w:rPr>
          <w:rFonts w:cs="Arial"/>
          <w:szCs w:val="22"/>
        </w:rPr>
        <w:t xml:space="preserve"> and </w:t>
      </w:r>
      <w:proofErr w:type="spellStart"/>
      <w:r w:rsidRPr="00FB71D2">
        <w:rPr>
          <w:rFonts w:cs="Arial"/>
          <w:szCs w:val="22"/>
        </w:rPr>
        <w:t>GBS</w:t>
      </w:r>
      <w:proofErr w:type="spellEnd"/>
      <w:r w:rsidRPr="00FB71D2">
        <w:rPr>
          <w:rFonts w:cs="Arial"/>
          <w:szCs w:val="22"/>
        </w:rPr>
        <w:t xml:space="preserve"> Annual Review Report;</w:t>
      </w:r>
    </w:p>
    <w:p w:rsidR="000A07F9" w:rsidRPr="00FB71D2" w:rsidRDefault="000A07F9" w:rsidP="000A07F9">
      <w:pPr>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Energy sector (PER/MKUKUTA) studies to assess energy sector performance on policy and expenditure issues and inform future policy making, planning and budgeting; and</w:t>
      </w:r>
    </w:p>
    <w:p w:rsidR="000A07F9" w:rsidRPr="00FB71D2" w:rsidRDefault="000A07F9" w:rsidP="000A07F9">
      <w:pPr>
        <w:jc w:val="both"/>
        <w:rPr>
          <w:rFonts w:cs="Arial"/>
          <w:szCs w:val="22"/>
        </w:rPr>
      </w:pPr>
    </w:p>
    <w:p w:rsidR="000A07F9" w:rsidRPr="00FB71D2" w:rsidRDefault="000A07F9" w:rsidP="000A07F9">
      <w:pPr>
        <w:numPr>
          <w:ilvl w:val="0"/>
          <w:numId w:val="15"/>
        </w:numPr>
        <w:tabs>
          <w:tab w:val="clear" w:pos="1080"/>
          <w:tab w:val="num" w:pos="1260"/>
        </w:tabs>
        <w:ind w:left="1260" w:hanging="540"/>
        <w:jc w:val="both"/>
        <w:rPr>
          <w:rFonts w:cs="Arial"/>
          <w:szCs w:val="22"/>
        </w:rPr>
      </w:pPr>
      <w:r w:rsidRPr="00FB71D2">
        <w:rPr>
          <w:rFonts w:cs="Arial"/>
          <w:szCs w:val="22"/>
        </w:rPr>
        <w:t xml:space="preserve">Annual energy sector progress report </w:t>
      </w:r>
    </w:p>
    <w:p w:rsidR="000A07F9" w:rsidRPr="00FB71D2" w:rsidRDefault="000A07F9" w:rsidP="000A07F9">
      <w:pPr>
        <w:ind w:left="360"/>
        <w:jc w:val="both"/>
        <w:rPr>
          <w:rFonts w:cs="Arial"/>
          <w:szCs w:val="22"/>
        </w:rPr>
      </w:pPr>
    </w:p>
    <w:p w:rsidR="000A07F9" w:rsidRPr="00FB71D2" w:rsidRDefault="000A07F9" w:rsidP="000A07F9">
      <w:pPr>
        <w:numPr>
          <w:ilvl w:val="1"/>
          <w:numId w:val="15"/>
        </w:numPr>
        <w:tabs>
          <w:tab w:val="clear" w:pos="1800"/>
          <w:tab w:val="num" w:pos="720"/>
        </w:tabs>
        <w:ind w:left="720"/>
        <w:rPr>
          <w:rFonts w:cs="Arial"/>
          <w:b/>
          <w:szCs w:val="22"/>
        </w:rPr>
      </w:pPr>
      <w:r w:rsidRPr="00FB71D2">
        <w:rPr>
          <w:rFonts w:cs="Arial"/>
          <w:b/>
          <w:szCs w:val="22"/>
        </w:rPr>
        <w:t>Membership and leadership</w:t>
      </w:r>
    </w:p>
    <w:p w:rsidR="000A07F9" w:rsidRPr="00FB71D2" w:rsidRDefault="000A07F9" w:rsidP="000A07F9">
      <w:pPr>
        <w:numPr>
          <w:ilvl w:val="1"/>
          <w:numId w:val="17"/>
        </w:numPr>
        <w:jc w:val="both"/>
        <w:rPr>
          <w:rFonts w:cs="Arial"/>
          <w:b/>
          <w:szCs w:val="22"/>
        </w:rPr>
      </w:pPr>
      <w:r w:rsidRPr="00FB71D2">
        <w:rPr>
          <w:rFonts w:cs="Arial"/>
          <w:szCs w:val="22"/>
        </w:rPr>
        <w:t xml:space="preserve">The </w:t>
      </w:r>
      <w:proofErr w:type="spellStart"/>
      <w:r w:rsidRPr="00FB71D2">
        <w:rPr>
          <w:rFonts w:cs="Arial"/>
          <w:szCs w:val="22"/>
        </w:rPr>
        <w:t>JESWG</w:t>
      </w:r>
      <w:proofErr w:type="spellEnd"/>
      <w:r w:rsidRPr="00FB71D2">
        <w:rPr>
          <w:rFonts w:cs="Arial"/>
          <w:szCs w:val="22"/>
        </w:rPr>
        <w:t xml:space="preserve"> is made up of both Government and DP energy sector working groups. On the Government side, this includes all </w:t>
      </w:r>
      <w:proofErr w:type="spellStart"/>
      <w:r w:rsidRPr="00FB71D2">
        <w:rPr>
          <w:rFonts w:cs="Arial"/>
          <w:szCs w:val="22"/>
        </w:rPr>
        <w:t>MDAs</w:t>
      </w:r>
      <w:proofErr w:type="spellEnd"/>
      <w:r w:rsidRPr="00FB71D2">
        <w:rPr>
          <w:rFonts w:cs="Arial"/>
          <w:szCs w:val="22"/>
        </w:rPr>
        <w:t xml:space="preserve"> that constitute the energy sector, including a lead </w:t>
      </w:r>
      <w:proofErr w:type="spellStart"/>
      <w:r w:rsidRPr="00FB71D2">
        <w:rPr>
          <w:rFonts w:cs="Arial"/>
          <w:szCs w:val="22"/>
        </w:rPr>
        <w:t>MDA</w:t>
      </w:r>
      <w:proofErr w:type="spellEnd"/>
      <w:r w:rsidRPr="00FB71D2">
        <w:rPr>
          <w:rFonts w:cs="Arial"/>
          <w:szCs w:val="22"/>
        </w:rPr>
        <w:t xml:space="preserve"> and a deputy lead </w:t>
      </w:r>
      <w:proofErr w:type="spellStart"/>
      <w:r w:rsidRPr="00FB71D2">
        <w:rPr>
          <w:rFonts w:cs="Arial"/>
          <w:szCs w:val="22"/>
        </w:rPr>
        <w:t>MDA</w:t>
      </w:r>
      <w:proofErr w:type="spellEnd"/>
      <w:r w:rsidRPr="00FB71D2">
        <w:rPr>
          <w:rFonts w:cs="Arial"/>
          <w:szCs w:val="22"/>
        </w:rPr>
        <w:t xml:space="preserve"> to support the lead. On the DP side, membership involves lead and active Partners. Non-state actors should be invited to specific meetings.</w:t>
      </w:r>
    </w:p>
    <w:p w:rsidR="000A07F9" w:rsidRPr="00FB71D2" w:rsidRDefault="000A07F9" w:rsidP="000A07F9">
      <w:pPr>
        <w:jc w:val="both"/>
        <w:rPr>
          <w:rFonts w:cs="Arial"/>
          <w:szCs w:val="22"/>
        </w:rPr>
      </w:pPr>
    </w:p>
    <w:p w:rsidR="000A07F9" w:rsidRPr="00FB71D2" w:rsidRDefault="000A07F9" w:rsidP="000A07F9">
      <w:pPr>
        <w:numPr>
          <w:ilvl w:val="1"/>
          <w:numId w:val="17"/>
        </w:numPr>
        <w:jc w:val="both"/>
        <w:rPr>
          <w:rFonts w:cs="Arial"/>
          <w:szCs w:val="22"/>
        </w:rPr>
      </w:pPr>
      <w:r w:rsidRPr="00FB71D2">
        <w:rPr>
          <w:rFonts w:cs="Arial"/>
          <w:szCs w:val="22"/>
        </w:rPr>
        <w:lastRenderedPageBreak/>
        <w:t xml:space="preserve">The </w:t>
      </w:r>
      <w:proofErr w:type="spellStart"/>
      <w:r w:rsidRPr="00FB71D2">
        <w:rPr>
          <w:rFonts w:cs="Arial"/>
          <w:szCs w:val="22"/>
        </w:rPr>
        <w:t>JESWG</w:t>
      </w:r>
      <w:proofErr w:type="spellEnd"/>
      <w:r w:rsidRPr="00FB71D2">
        <w:rPr>
          <w:rFonts w:cs="Arial"/>
          <w:szCs w:val="22"/>
        </w:rPr>
        <w:t xml:space="preserve"> is chaired by the Government energy sector lead, who has the following responsibilities, with the help of a </w:t>
      </w:r>
      <w:proofErr w:type="spellStart"/>
      <w:r w:rsidRPr="00FB71D2">
        <w:rPr>
          <w:rFonts w:cs="Arial"/>
          <w:szCs w:val="22"/>
        </w:rPr>
        <w:t>Secretariate</w:t>
      </w:r>
      <w:proofErr w:type="spellEnd"/>
      <w:r w:rsidRPr="00FB71D2">
        <w:rPr>
          <w:rFonts w:cs="Arial"/>
          <w:szCs w:val="22"/>
        </w:rPr>
        <w:t>:</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Call for and organise meetings;</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Ensure that meetings take place regularly as scheduled;</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Ensure that energy sector meetings have optimal Government participation;</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Coordinate and facilitate members’ contributions to energy sector dialogue;</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Oversee and coordinate energy sector work plan implementation;</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 xml:space="preserve">Serve as focal point for Government members to communicate with </w:t>
      </w:r>
      <w:proofErr w:type="spellStart"/>
      <w:r w:rsidRPr="00FB71D2">
        <w:rPr>
          <w:rFonts w:cs="Arial"/>
          <w:szCs w:val="22"/>
        </w:rPr>
        <w:t>DPs</w:t>
      </w:r>
      <w:proofErr w:type="spellEnd"/>
      <w:r w:rsidRPr="00FB71D2">
        <w:rPr>
          <w:rFonts w:cs="Arial"/>
          <w:szCs w:val="22"/>
        </w:rPr>
        <w:t xml:space="preserve"> through the DP lead;</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 xml:space="preserve">Represent, together with the deputy lead </w:t>
      </w:r>
      <w:proofErr w:type="spellStart"/>
      <w:r w:rsidRPr="00FB71D2">
        <w:rPr>
          <w:rFonts w:cs="Arial"/>
          <w:szCs w:val="22"/>
        </w:rPr>
        <w:t>MDA</w:t>
      </w:r>
      <w:proofErr w:type="spellEnd"/>
      <w:r w:rsidRPr="00FB71D2">
        <w:rPr>
          <w:rFonts w:cs="Arial"/>
          <w:szCs w:val="22"/>
        </w:rPr>
        <w:t xml:space="preserve"> and the lead DP, the energy sector in the relevant </w:t>
      </w:r>
      <w:proofErr w:type="spellStart"/>
      <w:r w:rsidRPr="00FB71D2">
        <w:rPr>
          <w:rFonts w:cs="Arial"/>
          <w:szCs w:val="22"/>
        </w:rPr>
        <w:t>CWG</w:t>
      </w:r>
      <w:proofErr w:type="spellEnd"/>
      <w:r w:rsidRPr="00FB71D2">
        <w:rPr>
          <w:rFonts w:cs="Arial"/>
          <w:szCs w:val="22"/>
        </w:rPr>
        <w:t xml:space="preserve"> ;</w:t>
      </w:r>
    </w:p>
    <w:p w:rsidR="000A07F9" w:rsidRPr="00FB71D2" w:rsidRDefault="000A07F9" w:rsidP="000A07F9">
      <w:pPr>
        <w:jc w:val="both"/>
        <w:rPr>
          <w:rFonts w:cs="Arial"/>
          <w:szCs w:val="22"/>
        </w:rPr>
      </w:pPr>
    </w:p>
    <w:p w:rsidR="000A07F9" w:rsidRPr="00FB71D2" w:rsidRDefault="000A07F9" w:rsidP="000A07F9">
      <w:pPr>
        <w:numPr>
          <w:ilvl w:val="0"/>
          <w:numId w:val="18"/>
        </w:numPr>
        <w:tabs>
          <w:tab w:val="clear" w:pos="1080"/>
          <w:tab w:val="num" w:pos="1260"/>
        </w:tabs>
        <w:ind w:left="1260" w:hanging="540"/>
        <w:jc w:val="both"/>
        <w:rPr>
          <w:rFonts w:cs="Arial"/>
          <w:szCs w:val="22"/>
        </w:rPr>
      </w:pPr>
      <w:r w:rsidRPr="00FB71D2">
        <w:rPr>
          <w:rFonts w:cs="Arial"/>
          <w:szCs w:val="22"/>
        </w:rPr>
        <w:t>Maintain all relevant energy sector information and share it with other stakeholders.</w:t>
      </w:r>
    </w:p>
    <w:p w:rsidR="000A07F9" w:rsidRPr="00FB71D2" w:rsidRDefault="000A07F9" w:rsidP="000A07F9">
      <w:pPr>
        <w:jc w:val="both"/>
        <w:rPr>
          <w:rFonts w:cs="Arial"/>
          <w:szCs w:val="22"/>
        </w:rPr>
      </w:pPr>
    </w:p>
    <w:p w:rsidR="000A07F9" w:rsidRPr="00FB71D2" w:rsidRDefault="000A07F9" w:rsidP="000A07F9">
      <w:pPr>
        <w:numPr>
          <w:ilvl w:val="1"/>
          <w:numId w:val="17"/>
        </w:numPr>
        <w:jc w:val="both"/>
        <w:rPr>
          <w:rFonts w:cs="Arial"/>
          <w:szCs w:val="22"/>
        </w:rPr>
      </w:pPr>
      <w:r w:rsidRPr="00FB71D2">
        <w:rPr>
          <w:rFonts w:cs="Arial"/>
          <w:szCs w:val="22"/>
        </w:rPr>
        <w:t>Within the joint working group, the energy sector lead DP has the following responsibilities:</w:t>
      </w:r>
    </w:p>
    <w:p w:rsidR="000A07F9" w:rsidRPr="00FB71D2" w:rsidRDefault="000A07F9" w:rsidP="000A07F9">
      <w:pPr>
        <w:jc w:val="both"/>
        <w:rPr>
          <w:rFonts w:cs="Arial"/>
          <w:szCs w:val="22"/>
        </w:rPr>
      </w:pPr>
    </w:p>
    <w:p w:rsidR="000A07F9" w:rsidRPr="00FB71D2" w:rsidRDefault="000A07F9" w:rsidP="000A07F9">
      <w:pPr>
        <w:numPr>
          <w:ilvl w:val="0"/>
          <w:numId w:val="19"/>
        </w:numPr>
        <w:tabs>
          <w:tab w:val="clear" w:pos="1080"/>
          <w:tab w:val="num" w:pos="1260"/>
        </w:tabs>
        <w:ind w:left="1260" w:hanging="540"/>
        <w:jc w:val="both"/>
        <w:rPr>
          <w:rFonts w:cs="Arial"/>
          <w:szCs w:val="22"/>
        </w:rPr>
      </w:pPr>
      <w:r w:rsidRPr="00FB71D2">
        <w:rPr>
          <w:rFonts w:cs="Arial"/>
          <w:szCs w:val="22"/>
        </w:rPr>
        <w:t>Ensure that the energy sector meetings have optimal DP participation;</w:t>
      </w:r>
    </w:p>
    <w:p w:rsidR="000A07F9" w:rsidRPr="00FB71D2" w:rsidRDefault="000A07F9" w:rsidP="000A07F9">
      <w:pPr>
        <w:jc w:val="both"/>
        <w:rPr>
          <w:rFonts w:cs="Arial"/>
          <w:szCs w:val="22"/>
        </w:rPr>
      </w:pPr>
    </w:p>
    <w:p w:rsidR="000A07F9" w:rsidRPr="00FB71D2" w:rsidRDefault="000A07F9" w:rsidP="000A07F9">
      <w:pPr>
        <w:numPr>
          <w:ilvl w:val="0"/>
          <w:numId w:val="19"/>
        </w:numPr>
        <w:tabs>
          <w:tab w:val="clear" w:pos="1080"/>
          <w:tab w:val="num" w:pos="1260"/>
        </w:tabs>
        <w:ind w:left="1260" w:hanging="540"/>
        <w:jc w:val="both"/>
        <w:rPr>
          <w:rFonts w:cs="Arial"/>
          <w:szCs w:val="22"/>
        </w:rPr>
      </w:pPr>
      <w:r w:rsidRPr="00FB71D2">
        <w:rPr>
          <w:rFonts w:cs="Arial"/>
          <w:szCs w:val="22"/>
        </w:rPr>
        <w:t>Serve as focal point for DP members to communicate with the Government side through the Government lead;</w:t>
      </w:r>
    </w:p>
    <w:p w:rsidR="000A07F9" w:rsidRPr="00FB71D2" w:rsidRDefault="000A07F9" w:rsidP="000A07F9">
      <w:pPr>
        <w:jc w:val="both"/>
        <w:rPr>
          <w:rFonts w:cs="Arial"/>
          <w:szCs w:val="22"/>
        </w:rPr>
      </w:pPr>
    </w:p>
    <w:p w:rsidR="000A07F9" w:rsidRPr="00FB71D2" w:rsidRDefault="000A07F9" w:rsidP="000A07F9">
      <w:pPr>
        <w:numPr>
          <w:ilvl w:val="0"/>
          <w:numId w:val="19"/>
        </w:numPr>
        <w:tabs>
          <w:tab w:val="clear" w:pos="1080"/>
          <w:tab w:val="num" w:pos="1260"/>
        </w:tabs>
        <w:ind w:left="1260" w:hanging="540"/>
        <w:jc w:val="both"/>
        <w:rPr>
          <w:rFonts w:cs="Arial"/>
          <w:szCs w:val="22"/>
        </w:rPr>
      </w:pPr>
      <w:r w:rsidRPr="00FB71D2">
        <w:rPr>
          <w:rFonts w:cs="Arial"/>
          <w:szCs w:val="22"/>
        </w:rPr>
        <w:t xml:space="preserve">Communicate, together with the Government lead, on behalf of the energy sector with the </w:t>
      </w:r>
      <w:proofErr w:type="spellStart"/>
      <w:r w:rsidRPr="00FB71D2">
        <w:rPr>
          <w:rFonts w:cs="Arial"/>
          <w:szCs w:val="22"/>
        </w:rPr>
        <w:t>CWG</w:t>
      </w:r>
      <w:proofErr w:type="spellEnd"/>
      <w:r w:rsidRPr="00FB71D2">
        <w:rPr>
          <w:rFonts w:cs="Arial"/>
          <w:szCs w:val="22"/>
        </w:rPr>
        <w:t xml:space="preserve"> and attend </w:t>
      </w:r>
      <w:proofErr w:type="spellStart"/>
      <w:r w:rsidRPr="00FB71D2">
        <w:rPr>
          <w:rFonts w:cs="Arial"/>
          <w:szCs w:val="22"/>
        </w:rPr>
        <w:t>CWG</w:t>
      </w:r>
      <w:proofErr w:type="spellEnd"/>
      <w:r w:rsidRPr="00FB71D2">
        <w:rPr>
          <w:rFonts w:cs="Arial"/>
          <w:szCs w:val="22"/>
        </w:rPr>
        <w:t xml:space="preserve"> meetings; and</w:t>
      </w:r>
    </w:p>
    <w:p w:rsidR="000A07F9" w:rsidRPr="00FB71D2" w:rsidRDefault="000A07F9" w:rsidP="000A07F9">
      <w:pPr>
        <w:jc w:val="both"/>
        <w:rPr>
          <w:rFonts w:cs="Arial"/>
          <w:szCs w:val="22"/>
        </w:rPr>
      </w:pPr>
    </w:p>
    <w:p w:rsidR="000A07F9" w:rsidRPr="00FB71D2" w:rsidRDefault="000A07F9" w:rsidP="000A07F9">
      <w:pPr>
        <w:numPr>
          <w:ilvl w:val="0"/>
          <w:numId w:val="19"/>
        </w:numPr>
        <w:tabs>
          <w:tab w:val="clear" w:pos="1080"/>
          <w:tab w:val="num" w:pos="1260"/>
        </w:tabs>
        <w:ind w:left="1260" w:hanging="540"/>
        <w:jc w:val="both"/>
        <w:rPr>
          <w:rFonts w:cs="Arial"/>
          <w:szCs w:val="22"/>
        </w:rPr>
      </w:pPr>
      <w:r w:rsidRPr="00FB71D2">
        <w:rPr>
          <w:rFonts w:cs="Arial"/>
          <w:szCs w:val="22"/>
        </w:rPr>
        <w:t>Maintain all relevant energy sector information from DP members and share it with other stakeholders.</w:t>
      </w:r>
    </w:p>
    <w:p w:rsidR="000A07F9" w:rsidRPr="00FB71D2" w:rsidRDefault="000A07F9" w:rsidP="000A07F9">
      <w:pPr>
        <w:jc w:val="both"/>
        <w:rPr>
          <w:rFonts w:cs="Arial"/>
          <w:szCs w:val="22"/>
        </w:rPr>
      </w:pPr>
    </w:p>
    <w:p w:rsidR="000A07F9" w:rsidRPr="00FB71D2" w:rsidRDefault="000A07F9" w:rsidP="000A07F9">
      <w:pPr>
        <w:numPr>
          <w:ilvl w:val="1"/>
          <w:numId w:val="15"/>
        </w:numPr>
        <w:tabs>
          <w:tab w:val="clear" w:pos="1800"/>
          <w:tab w:val="num" w:pos="720"/>
        </w:tabs>
        <w:ind w:left="720"/>
        <w:jc w:val="both"/>
        <w:rPr>
          <w:rFonts w:cs="Arial"/>
          <w:b/>
          <w:szCs w:val="22"/>
        </w:rPr>
      </w:pPr>
      <w:r w:rsidRPr="00FB71D2">
        <w:rPr>
          <w:rFonts w:cs="Arial"/>
          <w:b/>
          <w:szCs w:val="22"/>
        </w:rPr>
        <w:t>Participation in the annual review event</w:t>
      </w:r>
    </w:p>
    <w:p w:rsidR="000A07F9" w:rsidRPr="00FB71D2" w:rsidRDefault="000A07F9" w:rsidP="000A07F9">
      <w:pPr>
        <w:ind w:left="720"/>
        <w:jc w:val="both"/>
        <w:rPr>
          <w:rFonts w:cs="Arial"/>
          <w:szCs w:val="22"/>
        </w:rPr>
      </w:pPr>
      <w:r w:rsidRPr="00FB71D2">
        <w:rPr>
          <w:rFonts w:cs="Arial"/>
          <w:szCs w:val="22"/>
        </w:rPr>
        <w:t xml:space="preserve">The annual review event is attended by a wide range of stakeholders, not only working group members, but also other </w:t>
      </w:r>
      <w:proofErr w:type="spellStart"/>
      <w:r w:rsidRPr="00FB71D2">
        <w:rPr>
          <w:rFonts w:cs="Arial"/>
          <w:szCs w:val="22"/>
        </w:rPr>
        <w:t>MDAs</w:t>
      </w:r>
      <w:proofErr w:type="spellEnd"/>
      <w:r w:rsidRPr="00FB71D2">
        <w:rPr>
          <w:rFonts w:cs="Arial"/>
          <w:szCs w:val="22"/>
        </w:rPr>
        <w:t xml:space="preserve">, Regions, </w:t>
      </w:r>
      <w:proofErr w:type="spellStart"/>
      <w:r w:rsidRPr="00FB71D2">
        <w:rPr>
          <w:rFonts w:cs="Arial"/>
          <w:szCs w:val="22"/>
        </w:rPr>
        <w:t>LGAs</w:t>
      </w:r>
      <w:proofErr w:type="spellEnd"/>
      <w:r w:rsidRPr="00FB71D2">
        <w:rPr>
          <w:rFonts w:cs="Arial"/>
          <w:szCs w:val="22"/>
        </w:rPr>
        <w:t xml:space="preserve">, delegating Partners, and a broader range of non-state actors. </w:t>
      </w:r>
    </w:p>
    <w:p w:rsidR="000A07F9" w:rsidRPr="00FB71D2" w:rsidRDefault="000A07F9" w:rsidP="000A07F9">
      <w:pPr>
        <w:jc w:val="both"/>
        <w:rPr>
          <w:rFonts w:cs="Arial"/>
          <w:szCs w:val="22"/>
        </w:rPr>
      </w:pPr>
    </w:p>
    <w:p w:rsidR="000A07F9" w:rsidRPr="00FB71D2" w:rsidRDefault="000A07F9" w:rsidP="000A07F9">
      <w:pPr>
        <w:numPr>
          <w:ilvl w:val="1"/>
          <w:numId w:val="15"/>
        </w:numPr>
        <w:tabs>
          <w:tab w:val="clear" w:pos="1800"/>
          <w:tab w:val="num" w:pos="720"/>
        </w:tabs>
        <w:ind w:left="720"/>
        <w:rPr>
          <w:rFonts w:cs="Arial"/>
          <w:b/>
          <w:szCs w:val="22"/>
        </w:rPr>
      </w:pPr>
      <w:r w:rsidRPr="00FB71D2">
        <w:rPr>
          <w:rFonts w:cs="Arial"/>
          <w:b/>
          <w:szCs w:val="22"/>
        </w:rPr>
        <w:t xml:space="preserve">Meeting schedule </w:t>
      </w:r>
    </w:p>
    <w:p w:rsidR="000A07F9" w:rsidRPr="00FB71D2" w:rsidRDefault="000A07F9" w:rsidP="000A07F9">
      <w:pPr>
        <w:numPr>
          <w:ilvl w:val="1"/>
          <w:numId w:val="20"/>
        </w:numPr>
        <w:jc w:val="both"/>
        <w:rPr>
          <w:rFonts w:cs="Arial"/>
          <w:szCs w:val="22"/>
        </w:rPr>
      </w:pPr>
      <w:r w:rsidRPr="00FB71D2">
        <w:rPr>
          <w:rFonts w:cs="Arial"/>
          <w:szCs w:val="22"/>
        </w:rPr>
        <w:t xml:space="preserve">The </w:t>
      </w:r>
      <w:proofErr w:type="spellStart"/>
      <w:r w:rsidRPr="00FB71D2">
        <w:rPr>
          <w:rFonts w:cs="Arial"/>
          <w:szCs w:val="22"/>
        </w:rPr>
        <w:t>JESWG</w:t>
      </w:r>
      <w:proofErr w:type="spellEnd"/>
      <w:r w:rsidRPr="00FB71D2">
        <w:rPr>
          <w:rFonts w:cs="Arial"/>
          <w:szCs w:val="22"/>
        </w:rPr>
        <w:t xml:space="preserve"> aims to meet Quarterly. However, meetings may be more or less frequent at different times of the annual budget cycle, depending on the agenda and required outputs. In order to allow for productive meetings with minimal transaction costs, the meetings shall be focused and well prepared and organised. The latter includes the circulation of all necessary documents one week in advance of the meeting and sufficient advance confirmation of meeting dates and times. The </w:t>
      </w:r>
      <w:proofErr w:type="spellStart"/>
      <w:r w:rsidRPr="00FB71D2">
        <w:rPr>
          <w:rFonts w:cs="Arial"/>
          <w:szCs w:val="22"/>
        </w:rPr>
        <w:t>Secretariate</w:t>
      </w:r>
      <w:proofErr w:type="spellEnd"/>
      <w:r w:rsidRPr="00FB71D2">
        <w:rPr>
          <w:rFonts w:cs="Arial"/>
          <w:szCs w:val="22"/>
        </w:rPr>
        <w:t xml:space="preserve"> shall ensure meeting regularity and predictability with advance planning for it. The </w:t>
      </w:r>
      <w:proofErr w:type="spellStart"/>
      <w:r w:rsidRPr="00FB71D2">
        <w:rPr>
          <w:rFonts w:cs="Arial"/>
          <w:szCs w:val="22"/>
        </w:rPr>
        <w:t>Secretariate</w:t>
      </w:r>
      <w:proofErr w:type="spellEnd"/>
      <w:r w:rsidRPr="00FB71D2">
        <w:rPr>
          <w:rFonts w:cs="Arial"/>
          <w:szCs w:val="22"/>
        </w:rPr>
        <w:t xml:space="preserve"> shall ensure that meeting participants are well informed when coming to a meeting and able to represent their organisation appropriately with valid contributions.</w:t>
      </w:r>
    </w:p>
    <w:p w:rsidR="000A07F9" w:rsidRPr="00FB71D2" w:rsidRDefault="000A07F9" w:rsidP="000A07F9">
      <w:pPr>
        <w:jc w:val="both"/>
        <w:rPr>
          <w:rFonts w:cs="Arial"/>
          <w:szCs w:val="22"/>
        </w:rPr>
      </w:pPr>
    </w:p>
    <w:p w:rsidR="000A07F9" w:rsidRPr="00FB71D2" w:rsidRDefault="000A07F9" w:rsidP="000A07F9">
      <w:pPr>
        <w:numPr>
          <w:ilvl w:val="1"/>
          <w:numId w:val="20"/>
        </w:numPr>
        <w:jc w:val="both"/>
        <w:rPr>
          <w:rFonts w:cs="Arial"/>
          <w:szCs w:val="22"/>
        </w:rPr>
      </w:pPr>
      <w:r w:rsidRPr="00FB71D2">
        <w:rPr>
          <w:rFonts w:cs="Arial"/>
          <w:szCs w:val="22"/>
        </w:rPr>
        <w:lastRenderedPageBreak/>
        <w:t xml:space="preserve">The annual review event is recommended to take place in August/September in order to be able to feed into </w:t>
      </w:r>
      <w:proofErr w:type="spellStart"/>
      <w:r w:rsidRPr="00FB71D2">
        <w:rPr>
          <w:rFonts w:cs="Arial"/>
          <w:szCs w:val="22"/>
        </w:rPr>
        <w:t>CWG</w:t>
      </w:r>
      <w:proofErr w:type="spellEnd"/>
      <w:r w:rsidRPr="00FB71D2">
        <w:rPr>
          <w:rFonts w:cs="Arial"/>
          <w:szCs w:val="22"/>
        </w:rPr>
        <w:t xml:space="preserve"> progress reports, the MKUKUTA Annual Implementation Report, the MKUKUTA-PER Annual Review and the </w:t>
      </w:r>
      <w:proofErr w:type="spellStart"/>
      <w:r w:rsidRPr="00FB71D2">
        <w:rPr>
          <w:rFonts w:cs="Arial"/>
          <w:szCs w:val="22"/>
        </w:rPr>
        <w:t>GBS</w:t>
      </w:r>
      <w:proofErr w:type="spellEnd"/>
      <w:r w:rsidRPr="00FB71D2">
        <w:rPr>
          <w:rFonts w:cs="Arial"/>
          <w:szCs w:val="22"/>
        </w:rPr>
        <w:t xml:space="preserve"> Annual Review meetings in October, as well as the Budget Guidelines preparation.</w:t>
      </w:r>
    </w:p>
    <w:p w:rsidR="000A07F9" w:rsidRPr="00FB71D2" w:rsidRDefault="000A07F9" w:rsidP="000A07F9">
      <w:pPr>
        <w:jc w:val="both"/>
        <w:rPr>
          <w:rFonts w:cs="Arial"/>
          <w:szCs w:val="22"/>
        </w:rPr>
      </w:pPr>
    </w:p>
    <w:p w:rsidR="000A07F9" w:rsidRPr="00FB71D2" w:rsidRDefault="000A07F9" w:rsidP="000A07F9">
      <w:pPr>
        <w:numPr>
          <w:ilvl w:val="1"/>
          <w:numId w:val="15"/>
        </w:numPr>
        <w:tabs>
          <w:tab w:val="clear" w:pos="1800"/>
          <w:tab w:val="num" w:pos="720"/>
        </w:tabs>
        <w:ind w:left="720"/>
        <w:rPr>
          <w:rFonts w:cs="Arial"/>
          <w:b/>
          <w:szCs w:val="22"/>
        </w:rPr>
      </w:pPr>
      <w:r w:rsidRPr="00FB71D2">
        <w:rPr>
          <w:rFonts w:cs="Arial"/>
          <w:b/>
          <w:szCs w:val="22"/>
        </w:rPr>
        <w:t>Relationship to the Cluster Working Group</w:t>
      </w:r>
    </w:p>
    <w:p w:rsidR="000A07F9" w:rsidRPr="00FB71D2" w:rsidRDefault="000A07F9" w:rsidP="000A07F9">
      <w:pPr>
        <w:numPr>
          <w:ilvl w:val="1"/>
          <w:numId w:val="21"/>
        </w:numPr>
        <w:jc w:val="both"/>
        <w:rPr>
          <w:rFonts w:cs="Arial"/>
          <w:szCs w:val="22"/>
        </w:rPr>
      </w:pPr>
      <w:r w:rsidRPr="00FB71D2">
        <w:rPr>
          <w:rFonts w:cs="Arial"/>
          <w:szCs w:val="22"/>
        </w:rPr>
        <w:t xml:space="preserve">In carrying out its activities, the </w:t>
      </w:r>
      <w:proofErr w:type="spellStart"/>
      <w:r w:rsidRPr="00FB71D2">
        <w:rPr>
          <w:rFonts w:cs="Arial"/>
          <w:szCs w:val="22"/>
        </w:rPr>
        <w:t>JESWG</w:t>
      </w:r>
      <w:proofErr w:type="spellEnd"/>
      <w:r w:rsidRPr="00FB71D2">
        <w:rPr>
          <w:rFonts w:cs="Arial"/>
          <w:szCs w:val="22"/>
        </w:rPr>
        <w:t xml:space="preserve"> shall focus on the achievement of goals and outcomes of the </w:t>
      </w:r>
      <w:proofErr w:type="spellStart"/>
      <w:r w:rsidRPr="00FB71D2">
        <w:rPr>
          <w:rFonts w:cs="Arial"/>
          <w:szCs w:val="22"/>
        </w:rPr>
        <w:t>CWG</w:t>
      </w:r>
      <w:proofErr w:type="spellEnd"/>
      <w:r w:rsidRPr="00FB71D2">
        <w:rPr>
          <w:rFonts w:cs="Arial"/>
          <w:szCs w:val="22"/>
        </w:rPr>
        <w:t xml:space="preserve"> 1 cluster to which the energy sector belongs as well as on the contribution to goals and outcomes in the other two clusters. They take into account inter-linkages with other sectors / thematic areas in their cluster as well as with sectors/thematic areas in the other clusters. </w:t>
      </w:r>
    </w:p>
    <w:p w:rsidR="000A07F9" w:rsidRPr="00FB71D2" w:rsidRDefault="000A07F9" w:rsidP="000A07F9">
      <w:pPr>
        <w:jc w:val="both"/>
        <w:rPr>
          <w:rFonts w:cs="Arial"/>
          <w:szCs w:val="22"/>
        </w:rPr>
      </w:pPr>
    </w:p>
    <w:p w:rsidR="000A07F9" w:rsidRPr="00FB71D2" w:rsidRDefault="000A07F9" w:rsidP="000A07F9">
      <w:pPr>
        <w:numPr>
          <w:ilvl w:val="1"/>
          <w:numId w:val="21"/>
        </w:numPr>
        <w:jc w:val="both"/>
        <w:rPr>
          <w:rFonts w:cs="Arial"/>
          <w:szCs w:val="22"/>
        </w:rPr>
      </w:pPr>
      <w:r w:rsidRPr="00FB71D2">
        <w:rPr>
          <w:rFonts w:cs="Arial"/>
          <w:szCs w:val="22"/>
        </w:rPr>
        <w:t xml:space="preserve">Specifically, the </w:t>
      </w:r>
      <w:proofErr w:type="spellStart"/>
      <w:r w:rsidRPr="00FB71D2">
        <w:rPr>
          <w:rFonts w:cs="Arial"/>
          <w:szCs w:val="22"/>
        </w:rPr>
        <w:t>JESWG</w:t>
      </w:r>
      <w:proofErr w:type="spellEnd"/>
      <w:r w:rsidRPr="00FB71D2">
        <w:rPr>
          <w:rFonts w:cs="Arial"/>
          <w:szCs w:val="22"/>
        </w:rPr>
        <w:t xml:space="preserve"> will:</w:t>
      </w:r>
    </w:p>
    <w:p w:rsidR="000A07F9" w:rsidRPr="00FB71D2" w:rsidRDefault="000A07F9" w:rsidP="000A07F9">
      <w:pPr>
        <w:jc w:val="both"/>
        <w:rPr>
          <w:rFonts w:cs="Arial"/>
          <w:szCs w:val="22"/>
        </w:rPr>
      </w:pPr>
    </w:p>
    <w:p w:rsidR="000A07F9" w:rsidRPr="00FB71D2" w:rsidRDefault="000A07F9" w:rsidP="000A07F9">
      <w:pPr>
        <w:numPr>
          <w:ilvl w:val="0"/>
          <w:numId w:val="22"/>
        </w:numPr>
        <w:tabs>
          <w:tab w:val="clear" w:pos="1080"/>
          <w:tab w:val="num" w:pos="1260"/>
        </w:tabs>
        <w:ind w:left="1260" w:hanging="540"/>
        <w:jc w:val="both"/>
        <w:rPr>
          <w:rFonts w:cs="Arial"/>
          <w:szCs w:val="22"/>
        </w:rPr>
      </w:pPr>
      <w:r w:rsidRPr="00FB71D2">
        <w:rPr>
          <w:rFonts w:cs="Arial"/>
          <w:szCs w:val="22"/>
        </w:rPr>
        <w:t xml:space="preserve">Report on the energy sector performance to </w:t>
      </w:r>
      <w:proofErr w:type="spellStart"/>
      <w:r w:rsidRPr="00FB71D2">
        <w:rPr>
          <w:rFonts w:cs="Arial"/>
          <w:szCs w:val="22"/>
        </w:rPr>
        <w:t>CWG</w:t>
      </w:r>
      <w:proofErr w:type="spellEnd"/>
      <w:r w:rsidRPr="00FB71D2">
        <w:rPr>
          <w:rFonts w:cs="Arial"/>
          <w:szCs w:val="22"/>
        </w:rPr>
        <w:t xml:space="preserve"> through the Government sector lead;</w:t>
      </w:r>
    </w:p>
    <w:p w:rsidR="000A07F9" w:rsidRPr="00FB71D2" w:rsidRDefault="000A07F9" w:rsidP="000A07F9">
      <w:pPr>
        <w:jc w:val="both"/>
        <w:rPr>
          <w:rFonts w:cs="Arial"/>
          <w:szCs w:val="22"/>
        </w:rPr>
      </w:pPr>
    </w:p>
    <w:p w:rsidR="000A07F9" w:rsidRPr="00FB71D2" w:rsidRDefault="000A07F9" w:rsidP="000A07F9">
      <w:pPr>
        <w:numPr>
          <w:ilvl w:val="0"/>
          <w:numId w:val="22"/>
        </w:numPr>
        <w:tabs>
          <w:tab w:val="clear" w:pos="1080"/>
          <w:tab w:val="num" w:pos="1260"/>
        </w:tabs>
        <w:ind w:left="1260" w:hanging="540"/>
        <w:jc w:val="both"/>
        <w:rPr>
          <w:rFonts w:cs="Arial"/>
          <w:szCs w:val="22"/>
        </w:rPr>
      </w:pPr>
      <w:r w:rsidRPr="00FB71D2">
        <w:rPr>
          <w:rFonts w:cs="Arial"/>
          <w:szCs w:val="22"/>
        </w:rPr>
        <w:t xml:space="preserve">Feed analysis and recommendations into </w:t>
      </w:r>
      <w:proofErr w:type="spellStart"/>
      <w:r w:rsidRPr="00FB71D2">
        <w:rPr>
          <w:rFonts w:cs="Arial"/>
          <w:szCs w:val="22"/>
        </w:rPr>
        <w:t>CWG</w:t>
      </w:r>
      <w:proofErr w:type="spellEnd"/>
      <w:r w:rsidRPr="00FB71D2">
        <w:rPr>
          <w:rFonts w:cs="Arial"/>
          <w:szCs w:val="22"/>
        </w:rPr>
        <w:t>; and</w:t>
      </w:r>
    </w:p>
    <w:p w:rsidR="000A07F9" w:rsidRPr="00FB71D2" w:rsidRDefault="000A07F9" w:rsidP="000A07F9">
      <w:pPr>
        <w:jc w:val="both"/>
        <w:rPr>
          <w:rFonts w:cs="Arial"/>
          <w:szCs w:val="22"/>
        </w:rPr>
      </w:pPr>
    </w:p>
    <w:p w:rsidR="000A07F9" w:rsidRPr="00FB71D2" w:rsidRDefault="000A07F9" w:rsidP="000A07F9">
      <w:pPr>
        <w:numPr>
          <w:ilvl w:val="0"/>
          <w:numId w:val="22"/>
        </w:numPr>
        <w:tabs>
          <w:tab w:val="clear" w:pos="1080"/>
          <w:tab w:val="num" w:pos="1260"/>
        </w:tabs>
        <w:ind w:left="1260" w:hanging="540"/>
        <w:jc w:val="both"/>
        <w:rPr>
          <w:rFonts w:cs="Arial"/>
          <w:szCs w:val="22"/>
        </w:rPr>
      </w:pPr>
      <w:r w:rsidRPr="00FB71D2">
        <w:rPr>
          <w:rFonts w:cs="Arial"/>
          <w:szCs w:val="22"/>
        </w:rPr>
        <w:t xml:space="preserve">Receive and consider feedback from </w:t>
      </w:r>
      <w:proofErr w:type="spellStart"/>
      <w:r w:rsidRPr="00FB71D2">
        <w:rPr>
          <w:rFonts w:cs="Arial"/>
          <w:szCs w:val="22"/>
        </w:rPr>
        <w:t>CWG</w:t>
      </w:r>
      <w:proofErr w:type="spellEnd"/>
      <w:r w:rsidRPr="00FB71D2">
        <w:rPr>
          <w:rFonts w:cs="Arial"/>
          <w:szCs w:val="22"/>
        </w:rPr>
        <w:t xml:space="preserve"> </w:t>
      </w:r>
    </w:p>
    <w:p w:rsidR="000A07F9" w:rsidRDefault="000A07F9" w:rsidP="000A07F9">
      <w:pPr>
        <w:rPr>
          <w:rFonts w:cs="Arial"/>
          <w:szCs w:val="22"/>
        </w:rPr>
      </w:pPr>
    </w:p>
    <w:p w:rsidR="000A07F9" w:rsidRDefault="000A07F9" w:rsidP="000A07F9">
      <w:pPr>
        <w:rPr>
          <w:rFonts w:cs="Arial"/>
          <w:szCs w:val="22"/>
        </w:rPr>
      </w:pPr>
    </w:p>
    <w:p w:rsidR="000A07F9" w:rsidRPr="00572C88" w:rsidRDefault="000A07F9" w:rsidP="000A07F9">
      <w:pPr>
        <w:pStyle w:val="Bodytext"/>
      </w:pPr>
    </w:p>
    <w:p w:rsidR="005149A8" w:rsidRDefault="005149A8"/>
    <w:sectPr w:rsidR="005149A8" w:rsidSect="004B1069">
      <w:footerReference w:type="even" r:id="rId5"/>
      <w:footerReference w:type="default" r:id="rId6"/>
      <w:pgSz w:w="11906" w:h="16838" w:code="9"/>
      <w:pgMar w:top="1701" w:right="1423" w:bottom="1701" w:left="142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81" w:rsidRDefault="000A07F9" w:rsidP="009F5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197681" w:rsidRDefault="000A07F9" w:rsidP="00A008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81" w:rsidRDefault="000A07F9" w:rsidP="009F5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97681" w:rsidRDefault="000A07F9" w:rsidP="00A0086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39B"/>
    <w:multiLevelType w:val="hybridMultilevel"/>
    <w:tmpl w:val="59CEA934"/>
    <w:lvl w:ilvl="0" w:tplc="7152C528">
      <w:start w:val="1"/>
      <w:numFmt w:val="lowerRoman"/>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102C6"/>
    <w:multiLevelType w:val="multilevel"/>
    <w:tmpl w:val="D6AE68A4"/>
    <w:lvl w:ilvl="0">
      <w:start w:val="1"/>
      <w:numFmt w:val="lowerRoman"/>
      <w:lvlText w:val="(%1)"/>
      <w:lvlJc w:val="left"/>
      <w:pPr>
        <w:tabs>
          <w:tab w:val="num" w:pos="1080"/>
        </w:tabs>
        <w:ind w:left="1080" w:hanging="720"/>
      </w:pPr>
      <w:rPr>
        <w:rFonts w:cs="Times New Roman" w:hint="default"/>
      </w:rPr>
    </w:lvl>
    <w:lvl w:ilvl="1">
      <w:start w:val="7"/>
      <w:numFmt w:val="decimal"/>
      <w:lvlText w:val="%2.0"/>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DA1964"/>
    <w:multiLevelType w:val="hybridMultilevel"/>
    <w:tmpl w:val="F8DC961E"/>
    <w:lvl w:ilvl="0" w:tplc="7152C5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33B0409"/>
    <w:multiLevelType w:val="hybridMultilevel"/>
    <w:tmpl w:val="B128EF7A"/>
    <w:lvl w:ilvl="0" w:tplc="00EA5600">
      <w:start w:val="1"/>
      <w:numFmt w:val="lowerLetter"/>
      <w:lvlText w:val="(%1)"/>
      <w:lvlJc w:val="left"/>
      <w:pPr>
        <w:tabs>
          <w:tab w:val="num" w:pos="720"/>
        </w:tabs>
        <w:ind w:left="720" w:hanging="360"/>
      </w:pPr>
      <w:rPr>
        <w:rFonts w:cs="Times New Roman" w:hint="default"/>
      </w:rPr>
    </w:lvl>
    <w:lvl w:ilvl="1" w:tplc="D3C6CEAC">
      <w:start w:val="1"/>
      <w:numFmt w:val="bullet"/>
      <w:lvlText w:val=""/>
      <w:lvlJc w:val="left"/>
      <w:pPr>
        <w:tabs>
          <w:tab w:val="num" w:pos="1596"/>
        </w:tabs>
        <w:ind w:left="1596" w:hanging="516"/>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70D0B"/>
    <w:multiLevelType w:val="hybridMultilevel"/>
    <w:tmpl w:val="FC12EC18"/>
    <w:lvl w:ilvl="0" w:tplc="7FA42ACE">
      <w:start w:val="1"/>
      <w:numFmt w:val="lowerLetter"/>
      <w:lvlText w:val="(%1)"/>
      <w:lvlJc w:val="left"/>
      <w:pPr>
        <w:tabs>
          <w:tab w:val="num" w:pos="720"/>
        </w:tabs>
        <w:ind w:left="720" w:hanging="360"/>
      </w:pPr>
      <w:rPr>
        <w:rFonts w:cs="Times New Roman" w:hint="default"/>
      </w:rPr>
    </w:lvl>
    <w:lvl w:ilvl="1" w:tplc="D3C6CEAC">
      <w:start w:val="1"/>
      <w:numFmt w:val="bullet"/>
      <w:lvlText w:val=""/>
      <w:lvlJc w:val="left"/>
      <w:pPr>
        <w:tabs>
          <w:tab w:val="num" w:pos="1596"/>
        </w:tabs>
        <w:ind w:left="1596" w:hanging="516"/>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FA00ED"/>
    <w:multiLevelType w:val="hybridMultilevel"/>
    <w:tmpl w:val="4D02A440"/>
    <w:lvl w:ilvl="0" w:tplc="7152C5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C142834"/>
    <w:multiLevelType w:val="multilevel"/>
    <w:tmpl w:val="0CF0C6CA"/>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46564D"/>
    <w:multiLevelType w:val="hybridMultilevel"/>
    <w:tmpl w:val="C060A384"/>
    <w:lvl w:ilvl="0" w:tplc="7152C5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4B22865"/>
    <w:multiLevelType w:val="hybridMultilevel"/>
    <w:tmpl w:val="AF224B0C"/>
    <w:lvl w:ilvl="0" w:tplc="00EA5600">
      <w:start w:val="1"/>
      <w:numFmt w:val="lowerLetter"/>
      <w:lvlText w:val="(%1)"/>
      <w:lvlJc w:val="left"/>
      <w:pPr>
        <w:tabs>
          <w:tab w:val="num" w:pos="720"/>
        </w:tabs>
        <w:ind w:left="720" w:hanging="360"/>
      </w:pPr>
      <w:rPr>
        <w:rFonts w:cs="Times New Roman" w:hint="default"/>
      </w:rPr>
    </w:lvl>
    <w:lvl w:ilvl="1" w:tplc="D3C6CEAC">
      <w:start w:val="1"/>
      <w:numFmt w:val="bullet"/>
      <w:lvlText w:val=""/>
      <w:lvlJc w:val="left"/>
      <w:pPr>
        <w:tabs>
          <w:tab w:val="num" w:pos="1596"/>
        </w:tabs>
        <w:ind w:left="1596" w:hanging="516"/>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4D4D38"/>
    <w:multiLevelType w:val="hybridMultilevel"/>
    <w:tmpl w:val="28CA21A0"/>
    <w:lvl w:ilvl="0" w:tplc="7152C528">
      <w:start w:val="1"/>
      <w:numFmt w:val="lowerRoman"/>
      <w:lvlText w:val="(%1)"/>
      <w:lvlJc w:val="left"/>
      <w:pPr>
        <w:tabs>
          <w:tab w:val="num" w:pos="1080"/>
        </w:tabs>
        <w:ind w:left="108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43A2F"/>
    <w:multiLevelType w:val="hybridMultilevel"/>
    <w:tmpl w:val="EE3AB3CE"/>
    <w:lvl w:ilvl="0" w:tplc="04090001">
      <w:start w:val="1"/>
      <w:numFmt w:val="bullet"/>
      <w:lvlText w:val=""/>
      <w:lvlJc w:val="left"/>
      <w:pPr>
        <w:tabs>
          <w:tab w:val="num" w:pos="720"/>
        </w:tabs>
        <w:ind w:left="720" w:hanging="360"/>
      </w:pPr>
      <w:rPr>
        <w:rFonts w:ascii="Symbol" w:hAnsi="Symbol" w:hint="default"/>
      </w:rPr>
    </w:lvl>
    <w:lvl w:ilvl="1" w:tplc="00EA5600">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C087E"/>
    <w:multiLevelType w:val="hybridMultilevel"/>
    <w:tmpl w:val="FB300E40"/>
    <w:lvl w:ilvl="0" w:tplc="7152C5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EEE49BF"/>
    <w:multiLevelType w:val="hybridMultilevel"/>
    <w:tmpl w:val="2F762DF0"/>
    <w:lvl w:ilvl="0" w:tplc="00EA5600">
      <w:start w:val="1"/>
      <w:numFmt w:val="lowerLetter"/>
      <w:lvlText w:val="(%1)"/>
      <w:lvlJc w:val="left"/>
      <w:pPr>
        <w:tabs>
          <w:tab w:val="num" w:pos="720"/>
        </w:tabs>
        <w:ind w:left="720" w:hanging="360"/>
      </w:pPr>
      <w:rPr>
        <w:rFonts w:cs="Times New Roman" w:hint="default"/>
      </w:rPr>
    </w:lvl>
    <w:lvl w:ilvl="1" w:tplc="00EA5600">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BA510DD"/>
    <w:multiLevelType w:val="multilevel"/>
    <w:tmpl w:val="31B0B23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CA8581E"/>
    <w:multiLevelType w:val="multilevel"/>
    <w:tmpl w:val="6B18D0A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5B22F44"/>
    <w:multiLevelType w:val="hybridMultilevel"/>
    <w:tmpl w:val="C54C6F92"/>
    <w:lvl w:ilvl="0" w:tplc="04090001">
      <w:start w:val="1"/>
      <w:numFmt w:val="bullet"/>
      <w:lvlText w:val=""/>
      <w:lvlJc w:val="left"/>
      <w:pPr>
        <w:tabs>
          <w:tab w:val="num" w:pos="720"/>
        </w:tabs>
        <w:ind w:left="720" w:hanging="360"/>
      </w:pPr>
      <w:rPr>
        <w:rFonts w:ascii="Symbol" w:hAnsi="Symbol" w:hint="default"/>
      </w:rPr>
    </w:lvl>
    <w:lvl w:ilvl="1" w:tplc="7FA42ACE">
      <w:start w:val="1"/>
      <w:numFmt w:val="lowerLetter"/>
      <w:lvlText w:val="(%2)"/>
      <w:lvlJc w:val="left"/>
      <w:pPr>
        <w:tabs>
          <w:tab w:val="num" w:pos="1440"/>
        </w:tabs>
        <w:ind w:left="1440" w:hanging="360"/>
      </w:pPr>
      <w:rPr>
        <w:rFonts w:cs="Times New Roman" w:hint="default"/>
      </w:rPr>
    </w:lvl>
    <w:lvl w:ilvl="2" w:tplc="1EE2313C">
      <w:start w:val="2"/>
      <w:numFmt w:val="decimal"/>
      <w:lvlText w:val="%3"/>
      <w:lvlJc w:val="left"/>
      <w:pPr>
        <w:tabs>
          <w:tab w:val="num" w:pos="2520"/>
        </w:tabs>
        <w:ind w:left="2520" w:hanging="720"/>
      </w:pPr>
      <w:rPr>
        <w:rFonts w:cs="Times New Roman" w:hint="default"/>
      </w:rPr>
    </w:lvl>
    <w:lvl w:ilvl="3" w:tplc="4210B692">
      <w:start w:val="1"/>
      <w:numFmt w:val="decimal"/>
      <w:lvlText w:val="%4.0"/>
      <w:lvlJc w:val="left"/>
      <w:pPr>
        <w:tabs>
          <w:tab w:val="num" w:pos="3240"/>
        </w:tabs>
        <w:ind w:left="3240" w:hanging="72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CF6E30"/>
    <w:multiLevelType w:val="multilevel"/>
    <w:tmpl w:val="F6C2FCA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B9B59B8"/>
    <w:multiLevelType w:val="multilevel"/>
    <w:tmpl w:val="31B0B23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2F85424"/>
    <w:multiLevelType w:val="multilevel"/>
    <w:tmpl w:val="5816B114"/>
    <w:lvl w:ilvl="0">
      <w:start w:val="1"/>
      <w:numFmt w:val="upperLetter"/>
      <w:pStyle w:val="Annextitle"/>
      <w:lvlText w:val="Annex %1"/>
      <w:lvlJc w:val="left"/>
      <w:pPr>
        <w:tabs>
          <w:tab w:val="num" w:pos="360"/>
        </w:tabs>
        <w:ind w:left="360" w:hanging="360"/>
      </w:pPr>
      <w:rPr>
        <w:rFonts w:cs="Times New Roman" w:hint="default"/>
      </w:rPr>
    </w:lvl>
    <w:lvl w:ilvl="1">
      <w:start w:val="1"/>
      <w:numFmt w:val="decimal"/>
      <w:pStyle w:val="Annexheading1"/>
      <w:lvlText w:val="%1.%2"/>
      <w:lvlJc w:val="left"/>
      <w:pPr>
        <w:tabs>
          <w:tab w:val="num" w:pos="720"/>
        </w:tabs>
        <w:ind w:left="720" w:hanging="720"/>
      </w:pPr>
      <w:rPr>
        <w:rFonts w:cs="Times New Roman" w:hint="default"/>
      </w:rPr>
    </w:lvl>
    <w:lvl w:ilvl="2">
      <w:start w:val="1"/>
      <w:numFmt w:val="decimal"/>
      <w:pStyle w:val="Annexheading2"/>
      <w:lvlText w:val="%1.%2.%3"/>
      <w:lvlJc w:val="left"/>
      <w:pPr>
        <w:tabs>
          <w:tab w:val="num" w:pos="720"/>
        </w:tabs>
        <w:ind w:left="720" w:hanging="720"/>
      </w:pPr>
      <w:rPr>
        <w:rFonts w:cs="Times New Roman" w:hint="default"/>
      </w:rPr>
    </w:lvl>
    <w:lvl w:ilvl="3">
      <w:start w:val="1"/>
      <w:numFmt w:val="decimal"/>
      <w:pStyle w:val="Annexheading3"/>
      <w:lvlText w:val="%1.%2.%3.%4"/>
      <w:lvlJc w:val="left"/>
      <w:pPr>
        <w:tabs>
          <w:tab w:val="num" w:pos="1440"/>
        </w:tabs>
        <w:ind w:left="1440" w:hanging="1440"/>
      </w:pPr>
      <w:rPr>
        <w:rFonts w:cs="Times New Roman" w:hint="default"/>
      </w:rPr>
    </w:lvl>
    <w:lvl w:ilvl="4">
      <w:start w:val="1"/>
      <w:numFmt w:val="decimal"/>
      <w:lvlRestart w:val="0"/>
      <w:pStyle w:val="Annextable"/>
      <w:lvlText w:val="Table %1.%5"/>
      <w:lvlJc w:val="left"/>
      <w:pPr>
        <w:tabs>
          <w:tab w:val="num" w:pos="1440"/>
        </w:tabs>
        <w:ind w:left="1440" w:hanging="1440"/>
      </w:pPr>
      <w:rPr>
        <w:rFonts w:cs="Times New Roman" w:hint="default"/>
      </w:rPr>
    </w:lvl>
    <w:lvl w:ilvl="5">
      <w:start w:val="1"/>
      <w:numFmt w:val="decimal"/>
      <w:lvlRestart w:val="0"/>
      <w:pStyle w:val="Annexfigure"/>
      <w:lvlText w:val="Figure %1.%6"/>
      <w:lvlJc w:val="left"/>
      <w:pPr>
        <w:tabs>
          <w:tab w:val="num" w:pos="1440"/>
        </w:tabs>
        <w:ind w:left="1440" w:hanging="1440"/>
      </w:pPr>
      <w:rPr>
        <w:rFonts w:cs="Times New Roman" w:hint="default"/>
      </w:rPr>
    </w:lvl>
    <w:lvl w:ilvl="6">
      <w:start w:val="1"/>
      <w:numFmt w:val="decimal"/>
      <w:lvlRestart w:val="0"/>
      <w:pStyle w:val="Annexbox"/>
      <w:lvlText w:val="Box %1.%7"/>
      <w:lvlJc w:val="left"/>
      <w:pPr>
        <w:tabs>
          <w:tab w:val="num" w:pos="1440"/>
        </w:tabs>
        <w:ind w:left="1440" w:hanging="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82271A4"/>
    <w:multiLevelType w:val="hybridMultilevel"/>
    <w:tmpl w:val="ADBA49C6"/>
    <w:lvl w:ilvl="0" w:tplc="7152C528">
      <w:start w:val="1"/>
      <w:numFmt w:val="lowerRoman"/>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5B3ECB"/>
    <w:multiLevelType w:val="multilevel"/>
    <w:tmpl w:val="C6A64988"/>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2C274C"/>
    <w:multiLevelType w:val="hybridMultilevel"/>
    <w:tmpl w:val="8D7AEBBA"/>
    <w:lvl w:ilvl="0" w:tplc="7152C528">
      <w:start w:val="1"/>
      <w:numFmt w:val="lowerRoman"/>
      <w:lvlText w:val="(%1)"/>
      <w:lvlJc w:val="left"/>
      <w:pPr>
        <w:tabs>
          <w:tab w:val="num" w:pos="1080"/>
        </w:tabs>
        <w:ind w:left="108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5"/>
  </w:num>
  <w:num w:numId="4">
    <w:abstractNumId w:val="16"/>
  </w:num>
  <w:num w:numId="5">
    <w:abstractNumId w:val="11"/>
  </w:num>
  <w:num w:numId="6">
    <w:abstractNumId w:val="14"/>
  </w:num>
  <w:num w:numId="7">
    <w:abstractNumId w:val="7"/>
  </w:num>
  <w:num w:numId="8">
    <w:abstractNumId w:val="5"/>
  </w:num>
  <w:num w:numId="9">
    <w:abstractNumId w:val="13"/>
  </w:num>
  <w:num w:numId="10">
    <w:abstractNumId w:val="2"/>
  </w:num>
  <w:num w:numId="11">
    <w:abstractNumId w:val="4"/>
  </w:num>
  <w:num w:numId="12">
    <w:abstractNumId w:val="8"/>
  </w:num>
  <w:num w:numId="13">
    <w:abstractNumId w:val="3"/>
  </w:num>
  <w:num w:numId="14">
    <w:abstractNumId w:val="9"/>
  </w:num>
  <w:num w:numId="15">
    <w:abstractNumId w:val="1"/>
  </w:num>
  <w:num w:numId="16">
    <w:abstractNumId w:val="10"/>
  </w:num>
  <w:num w:numId="17">
    <w:abstractNumId w:val="20"/>
  </w:num>
  <w:num w:numId="18">
    <w:abstractNumId w:val="0"/>
  </w:num>
  <w:num w:numId="19">
    <w:abstractNumId w:val="19"/>
  </w:num>
  <w:num w:numId="20">
    <w:abstractNumId w:val="17"/>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7F9"/>
    <w:rsid w:val="000A07F9"/>
    <w:rsid w:val="00514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F9"/>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aliases w:val="OPM,OPM + Left:  1.27 cm,OPM + Bold,Italic"/>
    <w:basedOn w:val="Normal"/>
    <w:rsid w:val="000A07F9"/>
    <w:pPr>
      <w:spacing w:after="240"/>
      <w:jc w:val="both"/>
    </w:pPr>
  </w:style>
  <w:style w:type="paragraph" w:customStyle="1" w:styleId="Annexbox">
    <w:name w:val="Annex box"/>
    <w:basedOn w:val="Normal"/>
    <w:next w:val="Normal"/>
    <w:rsid w:val="000A07F9"/>
    <w:pPr>
      <w:keepNext/>
      <w:numPr>
        <w:ilvl w:val="6"/>
        <w:numId w:val="1"/>
      </w:numPr>
      <w:spacing w:before="160" w:after="240"/>
      <w:ind w:right="170"/>
      <w:outlineLvl w:val="1"/>
    </w:pPr>
    <w:rPr>
      <w:b/>
      <w:sz w:val="24"/>
    </w:rPr>
  </w:style>
  <w:style w:type="paragraph" w:customStyle="1" w:styleId="Annexfigure">
    <w:name w:val="Annex figure"/>
    <w:basedOn w:val="Normal"/>
    <w:next w:val="Bodytext"/>
    <w:rsid w:val="000A07F9"/>
    <w:pPr>
      <w:keepNext/>
      <w:numPr>
        <w:ilvl w:val="5"/>
        <w:numId w:val="1"/>
      </w:numPr>
      <w:spacing w:after="240"/>
      <w:outlineLvl w:val="1"/>
    </w:pPr>
    <w:rPr>
      <w:b/>
      <w:sz w:val="24"/>
    </w:rPr>
  </w:style>
  <w:style w:type="paragraph" w:customStyle="1" w:styleId="Annextable">
    <w:name w:val="Annex table"/>
    <w:basedOn w:val="Normal"/>
    <w:next w:val="Bodytext"/>
    <w:rsid w:val="000A07F9"/>
    <w:pPr>
      <w:keepNext/>
      <w:numPr>
        <w:ilvl w:val="4"/>
        <w:numId w:val="1"/>
      </w:numPr>
      <w:spacing w:after="240"/>
      <w:outlineLvl w:val="1"/>
    </w:pPr>
    <w:rPr>
      <w:b/>
      <w:sz w:val="24"/>
    </w:rPr>
  </w:style>
  <w:style w:type="paragraph" w:customStyle="1" w:styleId="Annexheading3">
    <w:name w:val="Annex heading 3"/>
    <w:basedOn w:val="Normal"/>
    <w:next w:val="Bodytext"/>
    <w:rsid w:val="000A07F9"/>
    <w:pPr>
      <w:keepNext/>
      <w:numPr>
        <w:ilvl w:val="3"/>
        <w:numId w:val="1"/>
      </w:numPr>
      <w:spacing w:after="60"/>
      <w:outlineLvl w:val="3"/>
    </w:pPr>
    <w:rPr>
      <w:b/>
    </w:rPr>
  </w:style>
  <w:style w:type="paragraph" w:customStyle="1" w:styleId="Annexheading2">
    <w:name w:val="Annex heading 2"/>
    <w:basedOn w:val="Normal"/>
    <w:next w:val="Bodytext"/>
    <w:rsid w:val="000A07F9"/>
    <w:pPr>
      <w:keepNext/>
      <w:numPr>
        <w:ilvl w:val="2"/>
        <w:numId w:val="1"/>
      </w:numPr>
      <w:spacing w:before="160" w:after="240"/>
      <w:outlineLvl w:val="2"/>
    </w:pPr>
    <w:rPr>
      <w:b/>
      <w:kern w:val="32"/>
      <w:sz w:val="24"/>
    </w:rPr>
  </w:style>
  <w:style w:type="paragraph" w:customStyle="1" w:styleId="Annexheading1">
    <w:name w:val="Annex heading 1"/>
    <w:basedOn w:val="Normal"/>
    <w:next w:val="Bodytext"/>
    <w:rsid w:val="000A07F9"/>
    <w:pPr>
      <w:keepNext/>
      <w:numPr>
        <w:ilvl w:val="1"/>
        <w:numId w:val="1"/>
      </w:numPr>
      <w:spacing w:before="240" w:after="240"/>
      <w:outlineLvl w:val="1"/>
    </w:pPr>
    <w:rPr>
      <w:b/>
      <w:sz w:val="28"/>
    </w:rPr>
  </w:style>
  <w:style w:type="paragraph" w:customStyle="1" w:styleId="Annextitle">
    <w:name w:val="Annex title"/>
    <w:basedOn w:val="Normal"/>
    <w:next w:val="Annexheading1"/>
    <w:rsid w:val="000A07F9"/>
    <w:pPr>
      <w:keepNext/>
      <w:pageBreakBefore/>
      <w:numPr>
        <w:numId w:val="1"/>
      </w:numPr>
      <w:tabs>
        <w:tab w:val="left" w:pos="1701"/>
      </w:tabs>
      <w:spacing w:after="400"/>
      <w:outlineLvl w:val="0"/>
    </w:pPr>
    <w:rPr>
      <w:b/>
      <w:kern w:val="32"/>
      <w:sz w:val="32"/>
    </w:rPr>
  </w:style>
  <w:style w:type="character" w:styleId="PageNumber">
    <w:name w:val="page number"/>
    <w:basedOn w:val="DefaultParagraphFont"/>
    <w:rsid w:val="000A07F9"/>
    <w:rPr>
      <w:rFonts w:ascii="Arial" w:hAnsi="Arial" w:cs="Times New Roman"/>
      <w:b/>
      <w:color w:val="000000"/>
      <w:sz w:val="20"/>
      <w:u w:val="none"/>
    </w:rPr>
  </w:style>
  <w:style w:type="paragraph" w:styleId="Footer">
    <w:name w:val="footer"/>
    <w:basedOn w:val="Normal"/>
    <w:link w:val="FooterChar"/>
    <w:rsid w:val="000A07F9"/>
    <w:pPr>
      <w:tabs>
        <w:tab w:val="right" w:pos="9066"/>
      </w:tabs>
    </w:pPr>
    <w:rPr>
      <w:b/>
      <w:sz w:val="20"/>
    </w:rPr>
  </w:style>
  <w:style w:type="character" w:customStyle="1" w:styleId="FooterChar">
    <w:name w:val="Footer Char"/>
    <w:basedOn w:val="DefaultParagraphFont"/>
    <w:link w:val="Footer"/>
    <w:rsid w:val="000A07F9"/>
    <w:rPr>
      <w:rFonts w:ascii="Arial" w:eastAsia="Times New Roman" w:hAnsi="Arial" w:cs="Times New Roman"/>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9867</Characters>
  <Application>Microsoft Office Word</Application>
  <DocSecurity>0</DocSecurity>
  <Lines>82</Lines>
  <Paragraphs>23</Paragraphs>
  <ScaleCrop>false</ScaleCrop>
  <Company>The World Bank Group</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wb280036</dc:creator>
  <cp:lastModifiedBy>wb280036</cp:lastModifiedBy>
  <cp:revision>1</cp:revision>
  <dcterms:created xsi:type="dcterms:W3CDTF">2010-09-01T14:36:00Z</dcterms:created>
  <dcterms:modified xsi:type="dcterms:W3CDTF">2010-09-01T14:37:00Z</dcterms:modified>
</cp:coreProperties>
</file>