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7A" w:rsidRDefault="005D077A" w:rsidP="005B6247">
      <w:pPr>
        <w:jc w:val="center"/>
        <w:rPr>
          <w:b/>
          <w:sz w:val="28"/>
          <w:szCs w:val="28"/>
          <w:u w:val="single"/>
        </w:rPr>
      </w:pPr>
    </w:p>
    <w:p w:rsidR="005D077A" w:rsidRDefault="005D077A" w:rsidP="005B6247">
      <w:pPr>
        <w:jc w:val="center"/>
        <w:rPr>
          <w:b/>
          <w:sz w:val="28"/>
          <w:szCs w:val="28"/>
          <w:u w:val="single"/>
        </w:rPr>
      </w:pPr>
    </w:p>
    <w:p w:rsidR="005D077A" w:rsidRDefault="005D077A" w:rsidP="005B6247">
      <w:pPr>
        <w:jc w:val="center"/>
        <w:rPr>
          <w:rFonts w:asciiTheme="majorHAnsi" w:eastAsiaTheme="majorEastAsia" w:hAnsi="Calibri" w:cstheme="majorBidi"/>
          <w:color w:val="000000" w:themeColor="text1"/>
          <w:kern w:val="24"/>
          <w:sz w:val="88"/>
          <w:szCs w:val="88"/>
        </w:rPr>
      </w:pPr>
    </w:p>
    <w:p w:rsidR="005D077A" w:rsidRDefault="002C5009" w:rsidP="005B6247">
      <w:pPr>
        <w:jc w:val="center"/>
        <w:rPr>
          <w:rFonts w:asciiTheme="majorHAnsi" w:eastAsiaTheme="majorEastAsia" w:hAnsi="Calibri" w:cstheme="majorBidi"/>
          <w:color w:val="000000" w:themeColor="text1"/>
          <w:kern w:val="24"/>
          <w:sz w:val="88"/>
          <w:szCs w:val="88"/>
        </w:rPr>
      </w:pPr>
      <w:r w:rsidRPr="005D077A">
        <w:rPr>
          <w:rFonts w:asciiTheme="majorHAnsi" w:eastAsiaTheme="majorEastAsia" w:hAnsi="Calibri" w:cstheme="majorBidi"/>
          <w:noProof/>
          <w:color w:val="000000" w:themeColor="text1"/>
          <w:kern w:val="24"/>
          <w:sz w:val="88"/>
          <w:szCs w:val="88"/>
          <w:lang w:eastAsia="en-GB"/>
        </w:rPr>
        <mc:AlternateContent>
          <mc:Choice Requires="wps">
            <w:drawing>
              <wp:anchor distT="0" distB="0" distL="114300" distR="114300" simplePos="0" relativeHeight="251659264" behindDoc="0" locked="0" layoutInCell="1" allowOverlap="1" wp14:anchorId="4FD11BCB" wp14:editId="242408AC">
                <wp:simplePos x="0" y="0"/>
                <wp:positionH relativeFrom="column">
                  <wp:align>center</wp:align>
                </wp:positionH>
                <wp:positionV relativeFrom="paragraph">
                  <wp:posOffset>0</wp:posOffset>
                </wp:positionV>
                <wp:extent cx="7991466" cy="2595716"/>
                <wp:effectExtent l="0" t="0" r="101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0840" cy="2595716"/>
                        </a:xfrm>
                        <a:prstGeom prst="rect">
                          <a:avLst/>
                        </a:prstGeom>
                        <a:solidFill>
                          <a:srgbClr val="FFFFFF"/>
                        </a:solidFill>
                        <a:ln w="15875">
                          <a:solidFill>
                            <a:srgbClr val="000000"/>
                          </a:solidFill>
                          <a:miter lim="800000"/>
                          <a:headEnd/>
                          <a:tailEnd/>
                        </a:ln>
                      </wps:spPr>
                      <wps:txbx>
                        <w:txbxContent>
                          <w:p w:rsidR="00857C0A" w:rsidRPr="006205D4" w:rsidRDefault="00857C0A" w:rsidP="005D077A">
                            <w:pPr>
                              <w:shd w:val="clear" w:color="auto" w:fill="D9D9D9" w:themeFill="background1" w:themeFillShade="D9"/>
                              <w:jc w:val="center"/>
                              <w:rPr>
                                <w:rFonts w:asciiTheme="majorHAnsi" w:eastAsiaTheme="majorEastAsia" w:hAnsi="Calibri" w:cstheme="majorBidi"/>
                                <w:color w:val="000000" w:themeColor="text1"/>
                                <w:kern w:val="24"/>
                                <w:sz w:val="36"/>
                                <w:szCs w:val="36"/>
                              </w:rPr>
                            </w:pPr>
                          </w:p>
                          <w:p w:rsidR="00857C0A" w:rsidRPr="006205D4" w:rsidRDefault="00857C0A" w:rsidP="005D077A">
                            <w:pPr>
                              <w:shd w:val="clear" w:color="auto" w:fill="D9D9D9" w:themeFill="background1" w:themeFillShade="D9"/>
                              <w:jc w:val="center"/>
                              <w:rPr>
                                <w:rFonts w:asciiTheme="majorHAnsi" w:eastAsiaTheme="majorEastAsia" w:hAnsi="Calibri" w:cstheme="majorBidi"/>
                                <w:color w:val="000000" w:themeColor="text1"/>
                                <w:kern w:val="24"/>
                                <w:sz w:val="36"/>
                                <w:szCs w:val="36"/>
                              </w:rPr>
                            </w:pPr>
                          </w:p>
                          <w:p w:rsidR="00857C0A" w:rsidRDefault="00857C0A"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r w:rsidRPr="002C5009">
                              <w:rPr>
                                <w:rFonts w:asciiTheme="minorHAnsi" w:eastAsiaTheme="majorEastAsia" w:hAnsiTheme="minorHAnsi" w:cstheme="majorBidi"/>
                                <w:color w:val="000000" w:themeColor="text1"/>
                                <w:kern w:val="24"/>
                                <w:sz w:val="48"/>
                                <w:szCs w:val="48"/>
                              </w:rPr>
                              <w:t>Joint Donor Ass</w:t>
                            </w:r>
                            <w:r>
                              <w:rPr>
                                <w:rFonts w:asciiTheme="minorHAnsi" w:eastAsiaTheme="majorEastAsia" w:hAnsiTheme="minorHAnsi" w:cstheme="majorBidi"/>
                                <w:color w:val="000000" w:themeColor="text1"/>
                                <w:kern w:val="24"/>
                                <w:sz w:val="48"/>
                                <w:szCs w:val="48"/>
                              </w:rPr>
                              <w:t xml:space="preserve">essment of the Underlying Principles </w:t>
                            </w:r>
                          </w:p>
                          <w:p w:rsidR="00857C0A"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proofErr w:type="gramStart"/>
                            <w:r>
                              <w:rPr>
                                <w:rFonts w:asciiTheme="minorHAnsi" w:eastAsiaTheme="majorEastAsia" w:hAnsiTheme="minorHAnsi" w:cstheme="majorBidi"/>
                                <w:color w:val="000000" w:themeColor="text1"/>
                                <w:kern w:val="24"/>
                                <w:sz w:val="48"/>
                                <w:szCs w:val="48"/>
                              </w:rPr>
                              <w:t>in</w:t>
                            </w:r>
                            <w:proofErr w:type="gramEnd"/>
                            <w:r>
                              <w:rPr>
                                <w:rFonts w:asciiTheme="minorHAnsi" w:eastAsiaTheme="majorEastAsia" w:hAnsiTheme="minorHAnsi" w:cstheme="majorBidi"/>
                                <w:color w:val="000000" w:themeColor="text1"/>
                                <w:kern w:val="24"/>
                                <w:sz w:val="48"/>
                                <w:szCs w:val="48"/>
                              </w:rPr>
                              <w:t xml:space="preserve"> </w:t>
                            </w:r>
                            <w:r w:rsidR="00857C0A">
                              <w:rPr>
                                <w:rFonts w:asciiTheme="minorHAnsi" w:eastAsiaTheme="majorEastAsia" w:hAnsiTheme="minorHAnsi" w:cstheme="majorBidi"/>
                                <w:color w:val="000000" w:themeColor="text1"/>
                                <w:kern w:val="24"/>
                                <w:sz w:val="48"/>
                                <w:szCs w:val="48"/>
                              </w:rPr>
                              <w:t>March 2014</w:t>
                            </w:r>
                            <w:r>
                              <w:rPr>
                                <w:rFonts w:asciiTheme="minorHAnsi" w:eastAsiaTheme="majorEastAsia" w:hAnsiTheme="minorHAnsi" w:cstheme="majorBidi"/>
                                <w:color w:val="000000" w:themeColor="text1"/>
                                <w:kern w:val="24"/>
                                <w:sz w:val="48"/>
                                <w:szCs w:val="48"/>
                              </w:rPr>
                              <w:t>:</w:t>
                            </w:r>
                          </w:p>
                          <w:p w:rsidR="006205D4"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p>
                          <w:p w:rsidR="006205D4" w:rsidRPr="002C5009"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r>
                              <w:rPr>
                                <w:rFonts w:asciiTheme="minorHAnsi" w:eastAsiaTheme="majorEastAsia" w:hAnsiTheme="minorHAnsi" w:cstheme="majorBidi"/>
                                <w:color w:val="000000" w:themeColor="text1"/>
                                <w:kern w:val="24"/>
                                <w:sz w:val="48"/>
                                <w:szCs w:val="48"/>
                              </w:rPr>
                              <w:t>CONCLUSIONS</w:t>
                            </w:r>
                          </w:p>
                          <w:p w:rsidR="00857C0A" w:rsidRDefault="00857C0A" w:rsidP="005D077A">
                            <w:pPr>
                              <w:shd w:val="clear" w:color="auto" w:fill="D9D9D9" w:themeFill="background1" w:themeFillShade="D9"/>
                              <w:jc w:val="center"/>
                              <w:rPr>
                                <w:b/>
                                <w:sz w:val="28"/>
                                <w:szCs w:val="28"/>
                                <w:u w:val="single"/>
                              </w:rPr>
                            </w:pPr>
                          </w:p>
                          <w:p w:rsidR="00857C0A" w:rsidRDefault="00857C0A" w:rsidP="005D077A">
                            <w:pPr>
                              <w:shd w:val="clear" w:color="auto" w:fill="D9D9D9" w:themeFill="background1" w:themeFillShade="D9"/>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29.25pt;height:20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" strokeweight="1.25pt">
                <v:textbox>
                  <w:txbxContent>
                    <w:p w:rsidR="00857C0A" w:rsidRPr="006205D4" w:rsidRDefault="00857C0A" w:rsidP="005D077A">
                      <w:pPr>
                        <w:shd w:val="clear" w:color="auto" w:fill="D9D9D9" w:themeFill="background1" w:themeFillShade="D9"/>
                        <w:jc w:val="center"/>
                        <w:rPr>
                          <w:rFonts w:asciiTheme="majorHAnsi" w:eastAsiaTheme="majorEastAsia" w:hAnsi="Calibri" w:cstheme="majorBidi"/>
                          <w:color w:val="000000" w:themeColor="text1"/>
                          <w:kern w:val="24"/>
                          <w:sz w:val="36"/>
                          <w:szCs w:val="36"/>
                        </w:rPr>
                      </w:pPr>
                    </w:p>
                    <w:p w:rsidR="00857C0A" w:rsidRPr="006205D4" w:rsidRDefault="00857C0A" w:rsidP="005D077A">
                      <w:pPr>
                        <w:shd w:val="clear" w:color="auto" w:fill="D9D9D9" w:themeFill="background1" w:themeFillShade="D9"/>
                        <w:jc w:val="center"/>
                        <w:rPr>
                          <w:rFonts w:asciiTheme="majorHAnsi" w:eastAsiaTheme="majorEastAsia" w:hAnsi="Calibri" w:cstheme="majorBidi"/>
                          <w:color w:val="000000" w:themeColor="text1"/>
                          <w:kern w:val="24"/>
                          <w:sz w:val="36"/>
                          <w:szCs w:val="36"/>
                        </w:rPr>
                      </w:pPr>
                    </w:p>
                    <w:p w:rsidR="00857C0A" w:rsidRDefault="00857C0A"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r w:rsidRPr="002C5009">
                        <w:rPr>
                          <w:rFonts w:asciiTheme="minorHAnsi" w:eastAsiaTheme="majorEastAsia" w:hAnsiTheme="minorHAnsi" w:cstheme="majorBidi"/>
                          <w:color w:val="000000" w:themeColor="text1"/>
                          <w:kern w:val="24"/>
                          <w:sz w:val="48"/>
                          <w:szCs w:val="48"/>
                        </w:rPr>
                        <w:t>Joint Donor Ass</w:t>
                      </w:r>
                      <w:r>
                        <w:rPr>
                          <w:rFonts w:asciiTheme="minorHAnsi" w:eastAsiaTheme="majorEastAsia" w:hAnsiTheme="minorHAnsi" w:cstheme="majorBidi"/>
                          <w:color w:val="000000" w:themeColor="text1"/>
                          <w:kern w:val="24"/>
                          <w:sz w:val="48"/>
                          <w:szCs w:val="48"/>
                        </w:rPr>
                        <w:t xml:space="preserve">essment of the Underlying Principles </w:t>
                      </w:r>
                    </w:p>
                    <w:p w:rsidR="00857C0A"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proofErr w:type="gramStart"/>
                      <w:r>
                        <w:rPr>
                          <w:rFonts w:asciiTheme="minorHAnsi" w:eastAsiaTheme="majorEastAsia" w:hAnsiTheme="minorHAnsi" w:cstheme="majorBidi"/>
                          <w:color w:val="000000" w:themeColor="text1"/>
                          <w:kern w:val="24"/>
                          <w:sz w:val="48"/>
                          <w:szCs w:val="48"/>
                        </w:rPr>
                        <w:t>in</w:t>
                      </w:r>
                      <w:proofErr w:type="gramEnd"/>
                      <w:r>
                        <w:rPr>
                          <w:rFonts w:asciiTheme="minorHAnsi" w:eastAsiaTheme="majorEastAsia" w:hAnsiTheme="minorHAnsi" w:cstheme="majorBidi"/>
                          <w:color w:val="000000" w:themeColor="text1"/>
                          <w:kern w:val="24"/>
                          <w:sz w:val="48"/>
                          <w:szCs w:val="48"/>
                        </w:rPr>
                        <w:t xml:space="preserve"> </w:t>
                      </w:r>
                      <w:r w:rsidR="00857C0A">
                        <w:rPr>
                          <w:rFonts w:asciiTheme="minorHAnsi" w:eastAsiaTheme="majorEastAsia" w:hAnsiTheme="minorHAnsi" w:cstheme="majorBidi"/>
                          <w:color w:val="000000" w:themeColor="text1"/>
                          <w:kern w:val="24"/>
                          <w:sz w:val="48"/>
                          <w:szCs w:val="48"/>
                        </w:rPr>
                        <w:t>March 2014</w:t>
                      </w:r>
                      <w:r>
                        <w:rPr>
                          <w:rFonts w:asciiTheme="minorHAnsi" w:eastAsiaTheme="majorEastAsia" w:hAnsiTheme="minorHAnsi" w:cstheme="majorBidi"/>
                          <w:color w:val="000000" w:themeColor="text1"/>
                          <w:kern w:val="24"/>
                          <w:sz w:val="48"/>
                          <w:szCs w:val="48"/>
                        </w:rPr>
                        <w:t>:</w:t>
                      </w:r>
                    </w:p>
                    <w:p w:rsidR="006205D4"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p>
                    <w:p w:rsidR="006205D4" w:rsidRPr="002C5009" w:rsidRDefault="006205D4" w:rsidP="00034613">
                      <w:pPr>
                        <w:shd w:val="clear" w:color="auto" w:fill="D9D9D9" w:themeFill="background1" w:themeFillShade="D9"/>
                        <w:jc w:val="center"/>
                        <w:rPr>
                          <w:rFonts w:asciiTheme="minorHAnsi" w:eastAsiaTheme="majorEastAsia" w:hAnsiTheme="minorHAnsi" w:cstheme="majorBidi"/>
                          <w:color w:val="000000" w:themeColor="text1"/>
                          <w:kern w:val="24"/>
                          <w:sz w:val="48"/>
                          <w:szCs w:val="48"/>
                        </w:rPr>
                      </w:pPr>
                      <w:r>
                        <w:rPr>
                          <w:rFonts w:asciiTheme="minorHAnsi" w:eastAsiaTheme="majorEastAsia" w:hAnsiTheme="minorHAnsi" w:cstheme="majorBidi"/>
                          <w:color w:val="000000" w:themeColor="text1"/>
                          <w:kern w:val="24"/>
                          <w:sz w:val="48"/>
                          <w:szCs w:val="48"/>
                        </w:rPr>
                        <w:t>CONCLUSIONS</w:t>
                      </w:r>
                    </w:p>
                    <w:p w:rsidR="00857C0A" w:rsidRDefault="00857C0A" w:rsidP="005D077A">
                      <w:pPr>
                        <w:shd w:val="clear" w:color="auto" w:fill="D9D9D9" w:themeFill="background1" w:themeFillShade="D9"/>
                        <w:jc w:val="center"/>
                        <w:rPr>
                          <w:b/>
                          <w:sz w:val="28"/>
                          <w:szCs w:val="28"/>
                          <w:u w:val="single"/>
                        </w:rPr>
                      </w:pPr>
                    </w:p>
                    <w:p w:rsidR="00857C0A" w:rsidRDefault="00857C0A" w:rsidP="005D077A">
                      <w:pPr>
                        <w:shd w:val="clear" w:color="auto" w:fill="D9D9D9" w:themeFill="background1" w:themeFillShade="D9"/>
                      </w:pPr>
                    </w:p>
                  </w:txbxContent>
                </v:textbox>
              </v:shape>
            </w:pict>
          </mc:Fallback>
        </mc:AlternateContent>
      </w:r>
    </w:p>
    <w:p w:rsidR="005D077A" w:rsidRDefault="005D077A" w:rsidP="005B6247">
      <w:pPr>
        <w:jc w:val="center"/>
        <w:rPr>
          <w:rFonts w:asciiTheme="majorHAnsi" w:eastAsiaTheme="majorEastAsia" w:hAnsi="Calibri" w:cstheme="majorBidi"/>
          <w:color w:val="000000" w:themeColor="text1"/>
          <w:kern w:val="24"/>
          <w:sz w:val="88"/>
          <w:szCs w:val="88"/>
        </w:rPr>
      </w:pPr>
    </w:p>
    <w:p w:rsidR="005D077A" w:rsidRDefault="005D077A" w:rsidP="005B6247">
      <w:pPr>
        <w:jc w:val="center"/>
        <w:rPr>
          <w:rFonts w:asciiTheme="majorHAnsi" w:eastAsiaTheme="majorEastAsia" w:hAnsi="Calibri" w:cstheme="majorBidi"/>
          <w:color w:val="000000" w:themeColor="text1"/>
          <w:kern w:val="24"/>
          <w:sz w:val="88"/>
          <w:szCs w:val="88"/>
        </w:rPr>
      </w:pPr>
    </w:p>
    <w:p w:rsidR="005D077A" w:rsidRDefault="005D077A" w:rsidP="005B6247">
      <w:pPr>
        <w:jc w:val="center"/>
        <w:rPr>
          <w:rFonts w:asciiTheme="majorHAnsi" w:eastAsiaTheme="majorEastAsia" w:hAnsi="Calibri" w:cstheme="majorBidi"/>
          <w:color w:val="000000" w:themeColor="text1"/>
          <w:kern w:val="24"/>
          <w:sz w:val="88"/>
          <w:szCs w:val="88"/>
        </w:rPr>
      </w:pPr>
    </w:p>
    <w:p w:rsidR="005D077A" w:rsidRDefault="005D077A" w:rsidP="005B6247">
      <w:pPr>
        <w:jc w:val="center"/>
        <w:rPr>
          <w:b/>
          <w:sz w:val="28"/>
          <w:szCs w:val="28"/>
          <w:u w:val="single"/>
        </w:rPr>
      </w:pPr>
    </w:p>
    <w:p w:rsidR="005D077A" w:rsidRDefault="005D077A" w:rsidP="005B6247">
      <w:pPr>
        <w:jc w:val="center"/>
        <w:rPr>
          <w:b/>
          <w:sz w:val="28"/>
          <w:szCs w:val="28"/>
          <w:u w:val="single"/>
        </w:rPr>
      </w:pPr>
      <w:r w:rsidRPr="005D077A">
        <w:rPr>
          <w:b/>
          <w:noProof/>
          <w:sz w:val="28"/>
          <w:szCs w:val="28"/>
          <w:u w:val="single"/>
          <w:lang w:eastAsia="en-GB"/>
        </w:rPr>
        <mc:AlternateContent>
          <mc:Choice Requires="wps">
            <w:drawing>
              <wp:anchor distT="0" distB="0" distL="114300" distR="114300" simplePos="0" relativeHeight="251661312" behindDoc="0" locked="0" layoutInCell="1" allowOverlap="1" wp14:anchorId="04AF563A" wp14:editId="558BB115">
                <wp:simplePos x="0" y="0"/>
                <wp:positionH relativeFrom="column">
                  <wp:align>center</wp:align>
                </wp:positionH>
                <wp:positionV relativeFrom="paragraph">
                  <wp:posOffset>0</wp:posOffset>
                </wp:positionV>
                <wp:extent cx="2374265" cy="736270"/>
                <wp:effectExtent l="0" t="0" r="1143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6270"/>
                        </a:xfrm>
                        <a:prstGeom prst="rect">
                          <a:avLst/>
                        </a:prstGeom>
                        <a:solidFill>
                          <a:srgbClr val="FFFFFF"/>
                        </a:solidFill>
                        <a:ln w="9525">
                          <a:solidFill>
                            <a:srgbClr val="000000"/>
                          </a:solidFill>
                          <a:miter lim="800000"/>
                          <a:headEnd/>
                          <a:tailEnd/>
                        </a:ln>
                      </wps:spPr>
                      <wps:txbx>
                        <w:txbxContent>
                          <w:p w:rsidR="00857C0A" w:rsidRPr="00D11D1D" w:rsidRDefault="00422B04" w:rsidP="005D077A">
                            <w:pPr>
                              <w:jc w:val="center"/>
                              <w:rPr>
                                <w:rFonts w:asciiTheme="minorHAnsi" w:hAnsiTheme="minorHAnsi"/>
                                <w:sz w:val="36"/>
                                <w:szCs w:val="36"/>
                              </w:rPr>
                            </w:pPr>
                            <w:r w:rsidRPr="00D11D1D">
                              <w:rPr>
                                <w:rFonts w:asciiTheme="minorHAnsi" w:hAnsiTheme="minorHAnsi"/>
                                <w:sz w:val="36"/>
                                <w:szCs w:val="36"/>
                              </w:rPr>
                              <w:t>18</w:t>
                            </w:r>
                            <w:r w:rsidR="00857C0A" w:rsidRPr="00D11D1D">
                              <w:rPr>
                                <w:rFonts w:asciiTheme="minorHAnsi" w:hAnsiTheme="minorHAnsi"/>
                                <w:sz w:val="36"/>
                                <w:szCs w:val="36"/>
                              </w:rPr>
                              <w:t xml:space="preserve">/03/14 </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0;margin-top:0;width:186.95pt;height:57.9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">
                <v:textbox>
                  <w:txbxContent>
                    <w:p w:rsidR="00857C0A" w:rsidRPr="00D11D1D" w:rsidRDefault="00422B04" w:rsidP="005D077A">
                      <w:pPr>
                        <w:jc w:val="center"/>
                        <w:rPr>
                          <w:rFonts w:asciiTheme="minorHAnsi" w:hAnsiTheme="minorHAnsi"/>
                          <w:sz w:val="36"/>
                          <w:szCs w:val="36"/>
                        </w:rPr>
                      </w:pPr>
                      <w:r w:rsidRPr="00D11D1D">
                        <w:rPr>
                          <w:rFonts w:asciiTheme="minorHAnsi" w:hAnsiTheme="minorHAnsi"/>
                          <w:sz w:val="36"/>
                          <w:szCs w:val="36"/>
                        </w:rPr>
                        <w:t>18</w:t>
                      </w:r>
                      <w:r w:rsidR="00857C0A" w:rsidRPr="00D11D1D">
                        <w:rPr>
                          <w:rFonts w:asciiTheme="minorHAnsi" w:hAnsiTheme="minorHAnsi"/>
                          <w:sz w:val="36"/>
                          <w:szCs w:val="36"/>
                        </w:rPr>
                        <w:t xml:space="preserve">/03/14 </w:t>
                      </w:r>
                    </w:p>
                  </w:txbxContent>
                </v:textbox>
              </v:shape>
            </w:pict>
          </mc:Fallback>
        </mc:AlternateContent>
      </w:r>
    </w:p>
    <w:p w:rsidR="005D077A" w:rsidRDefault="005D077A" w:rsidP="005B6247">
      <w:pPr>
        <w:jc w:val="center"/>
        <w:rPr>
          <w:b/>
          <w:sz w:val="28"/>
          <w:szCs w:val="28"/>
          <w:u w:val="single"/>
        </w:rPr>
      </w:pPr>
    </w:p>
    <w:p w:rsidR="007B5FFB" w:rsidRDefault="007B5FFB" w:rsidP="005B6247">
      <w:pPr>
        <w:jc w:val="center"/>
        <w:rPr>
          <w:b/>
          <w:sz w:val="28"/>
          <w:szCs w:val="28"/>
          <w:u w:val="single"/>
        </w:rPr>
      </w:pPr>
    </w:p>
    <w:p w:rsidR="005D077A" w:rsidRDefault="005D077A" w:rsidP="005B6247">
      <w:pPr>
        <w:jc w:val="center"/>
        <w:rPr>
          <w:b/>
          <w:sz w:val="28"/>
          <w:szCs w:val="28"/>
          <w:u w:val="single"/>
        </w:rPr>
      </w:pPr>
    </w:p>
    <w:p w:rsidR="008B2BC4" w:rsidRDefault="008B2BC4" w:rsidP="008B2BC4">
      <w:pPr>
        <w:rPr>
          <w:b/>
          <w:sz w:val="28"/>
          <w:szCs w:val="28"/>
          <w:u w:val="single"/>
        </w:rPr>
      </w:pPr>
    </w:p>
    <w:p w:rsidR="008B2BC4" w:rsidRDefault="008B2BC4" w:rsidP="008B2BC4">
      <w:pPr>
        <w:rPr>
          <w:b/>
          <w:sz w:val="28"/>
          <w:szCs w:val="28"/>
          <w:u w:val="single"/>
        </w:rPr>
      </w:pPr>
    </w:p>
    <w:p w:rsidR="008B2BC4" w:rsidRDefault="008B2BC4" w:rsidP="008B2BC4">
      <w:pPr>
        <w:rPr>
          <w:b/>
          <w:sz w:val="28"/>
          <w:szCs w:val="28"/>
          <w:u w:val="single"/>
        </w:rPr>
      </w:pPr>
    </w:p>
    <w:p w:rsidR="008B2BC4" w:rsidRDefault="008B2BC4" w:rsidP="008B2BC4">
      <w:pPr>
        <w:rPr>
          <w:b/>
          <w:sz w:val="28"/>
          <w:szCs w:val="28"/>
          <w:u w:val="single"/>
        </w:rPr>
      </w:pPr>
      <w:bookmarkStart w:id="0" w:name="_GoBack"/>
      <w:bookmarkEnd w:id="0"/>
    </w:p>
    <w:p w:rsidR="008B2BC4" w:rsidRDefault="008B2BC4" w:rsidP="008B2BC4">
      <w:pPr>
        <w:rPr>
          <w:b/>
          <w:sz w:val="28"/>
          <w:szCs w:val="28"/>
          <w:u w:val="single"/>
        </w:rPr>
      </w:pPr>
    </w:p>
    <w:p w:rsidR="005D077A" w:rsidRPr="008B2BC4" w:rsidRDefault="008B2BC4" w:rsidP="008B2BC4">
      <w:pPr>
        <w:ind w:left="1560" w:right="1529"/>
        <w:rPr>
          <w:rFonts w:ascii="Times New Roman" w:hAnsi="Times New Roman"/>
          <w:sz w:val="48"/>
          <w:lang w:eastAsia="en-GB"/>
        </w:rPr>
      </w:pPr>
      <w:r w:rsidRPr="00C1316C">
        <w:rPr>
          <w:rFonts w:asciiTheme="minorHAnsi" w:hAnsiTheme="minorHAnsi" w:cs="Arial"/>
          <w:b/>
          <w:sz w:val="22"/>
          <w:szCs w:val="22"/>
          <w:u w:val="single"/>
        </w:rPr>
        <w:t xml:space="preserve">Note: </w:t>
      </w:r>
      <w:r w:rsidRPr="00C1316C">
        <w:rPr>
          <w:rFonts w:asciiTheme="minorHAnsi" w:hAnsiTheme="minorHAnsi" w:cs="Arial"/>
          <w:sz w:val="22"/>
          <w:szCs w:val="22"/>
          <w:lang w:val="en-US"/>
        </w:rPr>
        <w:t>While the World Bank and the African Development Bank support the approach set out in this assessment, they cannot adhere to it because of their respective overall legal mandates as well as their own operational policies and guidelines. Both institutions will however coordinate their assessment with the proposed approach in relevant areas.</w:t>
      </w:r>
      <w:r w:rsidR="005D077A" w:rsidRPr="008B2BC4">
        <w:rPr>
          <w:b/>
          <w:sz w:val="28"/>
          <w:szCs w:val="28"/>
          <w:u w:val="single"/>
        </w:rPr>
        <w:br w:type="page"/>
      </w:r>
    </w:p>
    <w:p w:rsidR="007E349A" w:rsidRPr="00B83B2B" w:rsidRDefault="007E349A" w:rsidP="007E349A">
      <w:pPr>
        <w:rPr>
          <w:rFonts w:asciiTheme="minorHAnsi" w:hAnsiTheme="minorHAnsi" w:cs="Arial"/>
          <w:b/>
          <w:sz w:val="32"/>
          <w:szCs w:val="32"/>
          <w:u w:val="single"/>
          <w:lang w:eastAsia="en-GB"/>
        </w:rPr>
      </w:pPr>
      <w:r w:rsidRPr="00B83B2B">
        <w:rPr>
          <w:rFonts w:asciiTheme="minorHAnsi" w:hAnsiTheme="minorHAnsi" w:cs="Arial"/>
          <w:b/>
          <w:sz w:val="32"/>
          <w:szCs w:val="32"/>
          <w:u w:val="single"/>
          <w:lang w:eastAsia="en-GB"/>
        </w:rPr>
        <w:lastRenderedPageBreak/>
        <w:t>Overall Conclusions of the Assessment</w:t>
      </w:r>
    </w:p>
    <w:p w:rsidR="007E349A" w:rsidRPr="00B83B2B" w:rsidRDefault="007E349A" w:rsidP="007E349A">
      <w:pPr>
        <w:pStyle w:val="ListParagraph"/>
        <w:ind w:left="2160"/>
        <w:rPr>
          <w:rFonts w:asciiTheme="minorHAnsi" w:hAnsiTheme="minorHAnsi" w:cs="Arial"/>
          <w:u w:val="single"/>
          <w:lang w:eastAsia="en-GB"/>
        </w:rPr>
      </w:pPr>
      <w:r w:rsidRPr="00B83B2B">
        <w:rPr>
          <w:rFonts w:asciiTheme="minorHAnsi" w:hAnsiTheme="minorHAnsi" w:cs="Arial"/>
          <w:u w:val="single"/>
          <w:lang w:eastAsia="en-GB"/>
        </w:rPr>
        <w:t xml:space="preserve"> </w:t>
      </w:r>
    </w:p>
    <w:p w:rsidR="007E349A" w:rsidRPr="00B83B2B" w:rsidRDefault="007E349A" w:rsidP="00417C52">
      <w:pPr>
        <w:numPr>
          <w:ilvl w:val="0"/>
          <w:numId w:val="37"/>
        </w:numPr>
        <w:tabs>
          <w:tab w:val="num" w:pos="720"/>
        </w:tabs>
        <w:rPr>
          <w:rFonts w:asciiTheme="minorHAnsi" w:hAnsiTheme="minorHAnsi"/>
          <w:color w:val="000000"/>
          <w:sz w:val="22"/>
          <w:szCs w:val="22"/>
        </w:rPr>
      </w:pPr>
      <w:r w:rsidRPr="00B83B2B">
        <w:rPr>
          <w:rFonts w:asciiTheme="minorHAnsi" w:hAnsiTheme="minorHAnsi"/>
          <w:color w:val="000000"/>
          <w:sz w:val="22"/>
          <w:szCs w:val="22"/>
        </w:rPr>
        <w:t xml:space="preserve">The Assessment concludes that the Government of Tanzania continues to be committed to the Underlying Principles outlined in the Partnership Framework Memorandum. </w:t>
      </w:r>
    </w:p>
    <w:p w:rsidR="00B50E74" w:rsidRPr="00B83B2B" w:rsidRDefault="00B50E74" w:rsidP="00B50E74">
      <w:pPr>
        <w:numPr>
          <w:ilvl w:val="0"/>
          <w:numId w:val="37"/>
        </w:numPr>
        <w:rPr>
          <w:rFonts w:asciiTheme="minorHAnsi" w:hAnsiTheme="minorHAnsi"/>
          <w:color w:val="000000"/>
          <w:sz w:val="22"/>
          <w:szCs w:val="22"/>
        </w:rPr>
      </w:pPr>
      <w:r w:rsidRPr="00B83B2B">
        <w:rPr>
          <w:rFonts w:asciiTheme="minorHAnsi" w:hAnsiTheme="minorHAnsi"/>
          <w:color w:val="000000"/>
          <w:sz w:val="22"/>
          <w:szCs w:val="22"/>
        </w:rPr>
        <w:t>The Asse</w:t>
      </w:r>
      <w:r w:rsidR="00377C36" w:rsidRPr="00B83B2B">
        <w:rPr>
          <w:rFonts w:asciiTheme="minorHAnsi" w:hAnsiTheme="minorHAnsi"/>
          <w:color w:val="000000"/>
          <w:sz w:val="22"/>
          <w:szCs w:val="22"/>
        </w:rPr>
        <w:t>ssment identifies issues that Development Partners (DPs)</w:t>
      </w:r>
      <w:r w:rsidRPr="00B83B2B">
        <w:rPr>
          <w:rFonts w:asciiTheme="minorHAnsi" w:hAnsiTheme="minorHAnsi"/>
          <w:color w:val="000000"/>
          <w:sz w:val="22"/>
          <w:szCs w:val="22"/>
        </w:rPr>
        <w:t xml:space="preserve"> would like to discuss further with the Government of the URT in order to identify and support solutions. A number of specific issues arising from this Assessment can be pursued through sector dialogues.</w:t>
      </w:r>
    </w:p>
    <w:p w:rsidR="007E349A" w:rsidRPr="00B83B2B" w:rsidRDefault="007E349A" w:rsidP="00B50E74">
      <w:pPr>
        <w:numPr>
          <w:ilvl w:val="0"/>
          <w:numId w:val="37"/>
        </w:numPr>
        <w:rPr>
          <w:rFonts w:asciiTheme="minorHAnsi" w:hAnsiTheme="minorHAnsi"/>
          <w:color w:val="000000"/>
          <w:sz w:val="22"/>
          <w:szCs w:val="22"/>
        </w:rPr>
      </w:pPr>
      <w:r w:rsidRPr="00B83B2B">
        <w:rPr>
          <w:rFonts w:asciiTheme="minorHAnsi" w:hAnsiTheme="minorHAnsi"/>
          <w:color w:val="000000"/>
          <w:sz w:val="22"/>
          <w:szCs w:val="22"/>
        </w:rPr>
        <w:t xml:space="preserve">DPs remain concerned about lack of progress in poverty reduction and provision of equitable and quality services. Government initiative to further improve the access to and quality of public services would be much welcome. </w:t>
      </w:r>
    </w:p>
    <w:p w:rsidR="007E349A" w:rsidRPr="00B83B2B" w:rsidRDefault="007E349A" w:rsidP="00417C52">
      <w:pPr>
        <w:numPr>
          <w:ilvl w:val="0"/>
          <w:numId w:val="37"/>
        </w:numPr>
        <w:rPr>
          <w:rFonts w:asciiTheme="minorHAnsi" w:hAnsiTheme="minorHAnsi"/>
          <w:color w:val="000000"/>
          <w:sz w:val="22"/>
          <w:szCs w:val="22"/>
        </w:rPr>
      </w:pPr>
      <w:r w:rsidRPr="00B83B2B">
        <w:rPr>
          <w:rFonts w:asciiTheme="minorHAnsi" w:hAnsiTheme="minorHAnsi"/>
          <w:color w:val="000000"/>
          <w:sz w:val="22"/>
          <w:szCs w:val="22"/>
        </w:rPr>
        <w:t xml:space="preserve">DPs </w:t>
      </w:r>
      <w:r w:rsidR="00512B5A" w:rsidRPr="00B83B2B">
        <w:rPr>
          <w:rFonts w:asciiTheme="minorHAnsi" w:hAnsiTheme="minorHAnsi"/>
          <w:color w:val="000000"/>
          <w:sz w:val="22"/>
          <w:szCs w:val="22"/>
        </w:rPr>
        <w:t xml:space="preserve">encourage the Government to </w:t>
      </w:r>
      <w:r w:rsidR="00512B5A" w:rsidRPr="00B83B2B">
        <w:rPr>
          <w:rFonts w:asciiTheme="minorHAnsi" w:hAnsiTheme="minorHAnsi"/>
          <w:color w:val="000000"/>
          <w:sz w:val="22"/>
          <w:szCs w:val="22"/>
        </w:rPr>
        <w:t>take a more active approach</w:t>
      </w:r>
      <w:r w:rsidRPr="00B83B2B">
        <w:rPr>
          <w:rFonts w:asciiTheme="minorHAnsi" w:hAnsiTheme="minorHAnsi"/>
          <w:color w:val="000000"/>
          <w:sz w:val="22"/>
          <w:szCs w:val="22"/>
        </w:rPr>
        <w:t xml:space="preserve"> in the fight </w:t>
      </w:r>
      <w:r w:rsidR="00512B5A" w:rsidRPr="00B83B2B">
        <w:rPr>
          <w:rFonts w:asciiTheme="minorHAnsi" w:hAnsiTheme="minorHAnsi"/>
          <w:color w:val="000000"/>
          <w:sz w:val="22"/>
          <w:szCs w:val="22"/>
        </w:rPr>
        <w:t>against corruption</w:t>
      </w:r>
      <w:r w:rsidRPr="00B83B2B">
        <w:rPr>
          <w:rFonts w:asciiTheme="minorHAnsi" w:hAnsiTheme="minorHAnsi"/>
          <w:color w:val="000000"/>
          <w:sz w:val="22"/>
          <w:szCs w:val="22"/>
        </w:rPr>
        <w:t>.</w:t>
      </w:r>
      <w:r w:rsidRPr="00B83B2B">
        <w:rPr>
          <w:rFonts w:asciiTheme="minorHAnsi" w:eastAsiaTheme="minorEastAsia" w:hAnsiTheme="minorHAnsi" w:cs="Arial"/>
          <w:bCs/>
          <w:color w:val="000000" w:themeColor="text1"/>
          <w:kern w:val="24"/>
          <w:sz w:val="22"/>
          <w:szCs w:val="22"/>
          <w:lang w:eastAsia="en-GB"/>
        </w:rPr>
        <w:t xml:space="preserve"> </w:t>
      </w:r>
    </w:p>
    <w:tbl>
      <w:tblPr>
        <w:tblStyle w:val="TableGrid"/>
        <w:tblpPr w:leftFromText="180" w:rightFromText="180" w:vertAnchor="text" w:horzAnchor="margin" w:tblpY="863"/>
        <w:tblW w:w="15843" w:type="dxa"/>
        <w:tblLayout w:type="fixed"/>
        <w:tblLook w:val="04A0" w:firstRow="1" w:lastRow="0" w:firstColumn="1" w:lastColumn="0" w:noHBand="0" w:noVBand="1"/>
      </w:tblPr>
      <w:tblGrid>
        <w:gridCol w:w="4644"/>
        <w:gridCol w:w="851"/>
        <w:gridCol w:w="992"/>
        <w:gridCol w:w="9356"/>
      </w:tblGrid>
      <w:tr w:rsidR="007E349A" w:rsidTr="009A2BCA">
        <w:trPr>
          <w:trHeight w:val="244"/>
          <w:tblHeader/>
        </w:trPr>
        <w:tc>
          <w:tcPr>
            <w:tcW w:w="4644" w:type="dxa"/>
            <w:vMerge w:val="restart"/>
            <w:shd w:val="clear" w:color="auto" w:fill="BFBFBF" w:themeFill="background1" w:themeFillShade="BF"/>
            <w:vAlign w:val="center"/>
          </w:tcPr>
          <w:p w:rsidR="007E349A" w:rsidRPr="00DA5947" w:rsidRDefault="007E349A" w:rsidP="00E13040">
            <w:pPr>
              <w:jc w:val="center"/>
              <w:rPr>
                <w:rFonts w:asciiTheme="minorHAnsi" w:hAnsiTheme="minorHAnsi"/>
                <w:b/>
                <w:sz w:val="20"/>
                <w:szCs w:val="20"/>
                <w:u w:val="single"/>
              </w:rPr>
            </w:pPr>
            <w:r w:rsidRPr="00DA5947">
              <w:rPr>
                <w:rFonts w:asciiTheme="minorHAnsi" w:hAnsiTheme="minorHAnsi"/>
                <w:b/>
                <w:sz w:val="20"/>
                <w:szCs w:val="20"/>
                <w:u w:val="single"/>
              </w:rPr>
              <w:t>UP</w:t>
            </w:r>
          </w:p>
        </w:tc>
        <w:tc>
          <w:tcPr>
            <w:tcW w:w="1843" w:type="dxa"/>
            <w:gridSpan w:val="2"/>
            <w:vMerge w:val="restart"/>
            <w:shd w:val="clear" w:color="auto" w:fill="BFBFBF" w:themeFill="background1" w:themeFillShade="BF"/>
            <w:vAlign w:val="center"/>
          </w:tcPr>
          <w:p w:rsidR="007E349A" w:rsidRPr="00DA5947" w:rsidRDefault="007E349A" w:rsidP="00E13040">
            <w:pPr>
              <w:jc w:val="center"/>
              <w:rPr>
                <w:rFonts w:asciiTheme="minorHAnsi" w:hAnsiTheme="minorHAnsi"/>
                <w:b/>
                <w:sz w:val="20"/>
                <w:szCs w:val="20"/>
                <w:u w:val="single"/>
              </w:rPr>
            </w:pPr>
            <w:r w:rsidRPr="00DA5947">
              <w:rPr>
                <w:rFonts w:asciiTheme="minorHAnsi" w:hAnsiTheme="minorHAnsi"/>
                <w:b/>
                <w:sz w:val="20"/>
                <w:szCs w:val="20"/>
                <w:u w:val="single"/>
              </w:rPr>
              <w:t>Summary Assessment</w:t>
            </w:r>
          </w:p>
        </w:tc>
        <w:tc>
          <w:tcPr>
            <w:tcW w:w="9356" w:type="dxa"/>
            <w:vMerge w:val="restart"/>
            <w:shd w:val="clear" w:color="auto" w:fill="BFBFBF" w:themeFill="background1" w:themeFillShade="BF"/>
            <w:vAlign w:val="center"/>
          </w:tcPr>
          <w:p w:rsidR="007E349A" w:rsidRPr="00002454" w:rsidRDefault="009A2BCA" w:rsidP="00E13040">
            <w:pPr>
              <w:jc w:val="center"/>
              <w:rPr>
                <w:rFonts w:asciiTheme="minorHAnsi" w:hAnsiTheme="minorHAnsi"/>
                <w:b/>
                <w:sz w:val="22"/>
                <w:szCs w:val="22"/>
                <w:u w:val="single"/>
              </w:rPr>
            </w:pPr>
            <w:r>
              <w:rPr>
                <w:rFonts w:asciiTheme="minorHAnsi" w:hAnsiTheme="minorHAnsi"/>
                <w:b/>
                <w:sz w:val="22"/>
                <w:szCs w:val="22"/>
                <w:u w:val="single"/>
              </w:rPr>
              <w:t>Issues for</w:t>
            </w:r>
            <w:r w:rsidR="007E349A" w:rsidRPr="00002454">
              <w:rPr>
                <w:rFonts w:asciiTheme="minorHAnsi" w:hAnsiTheme="minorHAnsi"/>
                <w:b/>
                <w:sz w:val="22"/>
                <w:szCs w:val="22"/>
                <w:u w:val="single"/>
              </w:rPr>
              <w:t xml:space="preserve"> Dialogue</w:t>
            </w:r>
          </w:p>
        </w:tc>
      </w:tr>
      <w:tr w:rsidR="007E349A" w:rsidTr="009A2BCA">
        <w:trPr>
          <w:trHeight w:val="244"/>
          <w:tblHeader/>
        </w:trPr>
        <w:tc>
          <w:tcPr>
            <w:tcW w:w="4644" w:type="dxa"/>
            <w:vMerge/>
            <w:shd w:val="clear" w:color="auto" w:fill="BFBFBF" w:themeFill="background1" w:themeFillShade="BF"/>
          </w:tcPr>
          <w:p w:rsidR="007E349A" w:rsidRPr="00DA5947" w:rsidRDefault="007E349A" w:rsidP="00E13040">
            <w:pPr>
              <w:jc w:val="center"/>
              <w:rPr>
                <w:rFonts w:asciiTheme="minorHAnsi" w:hAnsiTheme="minorHAnsi"/>
                <w:b/>
                <w:sz w:val="20"/>
                <w:szCs w:val="20"/>
                <w:u w:val="single"/>
              </w:rPr>
            </w:pPr>
          </w:p>
        </w:tc>
        <w:tc>
          <w:tcPr>
            <w:tcW w:w="1843" w:type="dxa"/>
            <w:gridSpan w:val="2"/>
            <w:vMerge/>
            <w:shd w:val="clear" w:color="auto" w:fill="BFBFBF" w:themeFill="background1" w:themeFillShade="BF"/>
          </w:tcPr>
          <w:p w:rsidR="007E349A" w:rsidRPr="00DA5947" w:rsidRDefault="007E349A" w:rsidP="00E13040">
            <w:pPr>
              <w:jc w:val="center"/>
              <w:rPr>
                <w:rFonts w:asciiTheme="minorHAnsi" w:hAnsiTheme="minorHAnsi"/>
                <w:b/>
                <w:sz w:val="20"/>
                <w:szCs w:val="20"/>
                <w:u w:val="single"/>
              </w:rPr>
            </w:pPr>
          </w:p>
        </w:tc>
        <w:tc>
          <w:tcPr>
            <w:tcW w:w="9356" w:type="dxa"/>
            <w:vMerge/>
            <w:shd w:val="clear" w:color="auto" w:fill="BFBFBF" w:themeFill="background1" w:themeFillShade="BF"/>
          </w:tcPr>
          <w:p w:rsidR="007E349A" w:rsidRPr="00DA5947" w:rsidRDefault="007E349A" w:rsidP="00E13040">
            <w:pPr>
              <w:jc w:val="center"/>
              <w:rPr>
                <w:rFonts w:asciiTheme="minorHAnsi" w:hAnsiTheme="minorHAnsi"/>
                <w:b/>
                <w:sz w:val="20"/>
                <w:szCs w:val="20"/>
                <w:u w:val="single"/>
              </w:rPr>
            </w:pPr>
          </w:p>
        </w:tc>
      </w:tr>
      <w:tr w:rsidR="009A2BCA" w:rsidTr="00045CBC">
        <w:trPr>
          <w:trHeight w:val="649"/>
        </w:trPr>
        <w:tc>
          <w:tcPr>
            <w:tcW w:w="4644" w:type="dxa"/>
            <w:tcBorders>
              <w:bottom w:val="single" w:sz="4" w:space="0" w:color="auto"/>
            </w:tcBorders>
            <w:shd w:val="clear" w:color="auto" w:fill="D9D9D9" w:themeFill="background1" w:themeFillShade="D9"/>
          </w:tcPr>
          <w:p w:rsidR="007E349A" w:rsidRPr="00DA5947" w:rsidRDefault="007E349A" w:rsidP="009A2BCA">
            <w:pPr>
              <w:rPr>
                <w:rFonts w:asciiTheme="minorHAnsi" w:hAnsiTheme="minorHAnsi"/>
                <w:b/>
                <w:i/>
                <w:sz w:val="22"/>
                <w:szCs w:val="22"/>
              </w:rPr>
            </w:pPr>
          </w:p>
          <w:p w:rsidR="007E349A" w:rsidRPr="007B42F7" w:rsidRDefault="007E349A" w:rsidP="00E13040">
            <w:pPr>
              <w:jc w:val="center"/>
              <w:rPr>
                <w:rFonts w:asciiTheme="minorHAnsi" w:hAnsiTheme="minorHAnsi"/>
                <w:b/>
                <w:sz w:val="22"/>
                <w:szCs w:val="22"/>
                <w:u w:val="single"/>
              </w:rPr>
            </w:pPr>
            <w:r>
              <w:rPr>
                <w:rFonts w:asciiTheme="minorHAnsi" w:hAnsiTheme="minorHAnsi"/>
                <w:b/>
                <w:sz w:val="22"/>
                <w:szCs w:val="22"/>
              </w:rPr>
              <w:t xml:space="preserve">(1) </w:t>
            </w:r>
            <w:r w:rsidRPr="007B42F7">
              <w:rPr>
                <w:rFonts w:asciiTheme="minorHAnsi" w:hAnsiTheme="minorHAnsi"/>
                <w:b/>
                <w:sz w:val="22"/>
                <w:szCs w:val="22"/>
              </w:rPr>
              <w:t xml:space="preserve">Continuing sound macroeconomic </w:t>
            </w:r>
            <w:r w:rsidR="00045CBC">
              <w:rPr>
                <w:rFonts w:asciiTheme="minorHAnsi" w:hAnsiTheme="minorHAnsi"/>
                <w:b/>
                <w:sz w:val="22"/>
                <w:szCs w:val="22"/>
              </w:rPr>
              <w:br/>
            </w:r>
            <w:r w:rsidRPr="007B42F7">
              <w:rPr>
                <w:rFonts w:asciiTheme="minorHAnsi" w:hAnsiTheme="minorHAnsi"/>
                <w:b/>
                <w:sz w:val="22"/>
                <w:szCs w:val="22"/>
              </w:rPr>
              <w:t>policies and management</w:t>
            </w:r>
          </w:p>
        </w:tc>
        <w:tc>
          <w:tcPr>
            <w:tcW w:w="851" w:type="dxa"/>
            <w:tcBorders>
              <w:bottom w:val="single" w:sz="4" w:space="0" w:color="auto"/>
            </w:tcBorders>
            <w:shd w:val="clear" w:color="auto" w:fill="92D050"/>
          </w:tcPr>
          <w:p w:rsidR="007E349A" w:rsidRPr="00DA5947" w:rsidRDefault="007E349A" w:rsidP="00E13040">
            <w:pPr>
              <w:jc w:val="center"/>
              <w:rPr>
                <w:rFonts w:asciiTheme="minorHAnsi" w:hAnsiTheme="minorHAnsi"/>
                <w:b/>
                <w:sz w:val="22"/>
                <w:szCs w:val="22"/>
              </w:rPr>
            </w:pPr>
          </w:p>
          <w:p w:rsidR="007E349A" w:rsidRPr="00DA5947" w:rsidRDefault="007E349A" w:rsidP="00E13040">
            <w:pPr>
              <w:jc w:val="center"/>
              <w:rPr>
                <w:rFonts w:asciiTheme="minorHAnsi" w:hAnsiTheme="minorHAnsi"/>
                <w:b/>
                <w:sz w:val="22"/>
                <w:szCs w:val="22"/>
              </w:rPr>
            </w:pPr>
            <w:r w:rsidRPr="00DA5947">
              <w:rPr>
                <w:rFonts w:asciiTheme="minorHAnsi" w:hAnsiTheme="minorHAnsi"/>
                <w:b/>
                <w:sz w:val="22"/>
                <w:szCs w:val="22"/>
              </w:rPr>
              <w:t>Green</w:t>
            </w:r>
          </w:p>
        </w:tc>
        <w:tc>
          <w:tcPr>
            <w:tcW w:w="992" w:type="dxa"/>
            <w:tcBorders>
              <w:bottom w:val="single" w:sz="4" w:space="0" w:color="auto"/>
            </w:tcBorders>
            <w:shd w:val="clear" w:color="auto" w:fill="FFC000"/>
          </w:tcPr>
          <w:p w:rsidR="007E349A" w:rsidRDefault="007E349A" w:rsidP="00E13040">
            <w:pPr>
              <w:jc w:val="center"/>
              <w:rPr>
                <w:rFonts w:asciiTheme="minorHAnsi" w:hAnsiTheme="minorHAnsi"/>
                <w:b/>
                <w:sz w:val="22"/>
                <w:szCs w:val="22"/>
              </w:rPr>
            </w:pPr>
          </w:p>
          <w:p w:rsidR="007E349A" w:rsidRPr="00DA5947" w:rsidRDefault="007E349A" w:rsidP="00E13040">
            <w:pPr>
              <w:jc w:val="center"/>
              <w:rPr>
                <w:rFonts w:asciiTheme="minorHAnsi" w:hAnsiTheme="minorHAnsi"/>
                <w:b/>
                <w:sz w:val="22"/>
                <w:szCs w:val="22"/>
              </w:rPr>
            </w:pPr>
            <w:r>
              <w:rPr>
                <w:rFonts w:asciiTheme="minorHAnsi" w:hAnsiTheme="minorHAnsi"/>
                <w:b/>
                <w:sz w:val="22"/>
                <w:szCs w:val="22"/>
              </w:rPr>
              <w:t>Orange</w:t>
            </w:r>
          </w:p>
        </w:tc>
        <w:tc>
          <w:tcPr>
            <w:tcW w:w="9356" w:type="dxa"/>
            <w:tcBorders>
              <w:bottom w:val="single" w:sz="4" w:space="0" w:color="auto"/>
            </w:tcBorders>
          </w:tcPr>
          <w:p w:rsidR="009A2BCA" w:rsidRPr="009A2BCA" w:rsidRDefault="00BD6F34" w:rsidP="00BD6F34">
            <w:pPr>
              <w:pStyle w:val="ListParagraph"/>
              <w:numPr>
                <w:ilvl w:val="0"/>
                <w:numId w:val="2"/>
              </w:numPr>
              <w:rPr>
                <w:rFonts w:asciiTheme="minorHAnsi" w:hAnsiTheme="minorHAnsi"/>
                <w:bCs/>
                <w:sz w:val="22"/>
                <w:szCs w:val="22"/>
                <w:lang w:eastAsia="en-GB"/>
              </w:rPr>
            </w:pPr>
            <w:r w:rsidRPr="009A2BCA">
              <w:rPr>
                <w:rFonts w:asciiTheme="minorHAnsi" w:hAnsiTheme="minorHAnsi"/>
                <w:b/>
                <w:sz w:val="22"/>
                <w:szCs w:val="22"/>
              </w:rPr>
              <w:t xml:space="preserve">GoT commitments and/or guarantees regarding </w:t>
            </w:r>
            <w:proofErr w:type="spellStart"/>
            <w:r w:rsidRPr="009A2BCA">
              <w:rPr>
                <w:rFonts w:asciiTheme="minorHAnsi" w:hAnsiTheme="minorHAnsi"/>
                <w:b/>
                <w:sz w:val="22"/>
                <w:szCs w:val="22"/>
              </w:rPr>
              <w:t>parastatals</w:t>
            </w:r>
            <w:proofErr w:type="spellEnd"/>
            <w:r w:rsidRPr="009A2BCA">
              <w:rPr>
                <w:rFonts w:asciiTheme="minorHAnsi" w:hAnsiTheme="minorHAnsi"/>
                <w:sz w:val="22"/>
                <w:szCs w:val="22"/>
              </w:rPr>
              <w:t xml:space="preserve"> </w:t>
            </w:r>
          </w:p>
          <w:p w:rsidR="009A2BCA" w:rsidRPr="009A2BCA" w:rsidRDefault="00BD6F34" w:rsidP="009A2BCA">
            <w:pPr>
              <w:pStyle w:val="ListParagraph"/>
              <w:numPr>
                <w:ilvl w:val="0"/>
                <w:numId w:val="2"/>
              </w:numPr>
              <w:rPr>
                <w:rFonts w:asciiTheme="minorHAnsi" w:hAnsiTheme="minorHAnsi" w:cs="Arial"/>
                <w:sz w:val="22"/>
                <w:szCs w:val="22"/>
              </w:rPr>
            </w:pPr>
            <w:r w:rsidRPr="009A2BCA">
              <w:rPr>
                <w:rFonts w:asciiTheme="minorHAnsi" w:hAnsiTheme="minorHAnsi"/>
                <w:b/>
                <w:sz w:val="22"/>
                <w:szCs w:val="22"/>
              </w:rPr>
              <w:t>The new VAT</w:t>
            </w:r>
            <w:r w:rsidRPr="009A2BCA">
              <w:rPr>
                <w:rFonts w:asciiTheme="minorHAnsi" w:hAnsiTheme="minorHAnsi"/>
                <w:b/>
                <w:sz w:val="22"/>
                <w:szCs w:val="22"/>
              </w:rPr>
              <w:t xml:space="preserve"> A</w:t>
            </w:r>
            <w:r w:rsidRPr="009A2BCA">
              <w:rPr>
                <w:rFonts w:asciiTheme="minorHAnsi" w:hAnsiTheme="minorHAnsi"/>
                <w:b/>
                <w:sz w:val="22"/>
                <w:szCs w:val="22"/>
              </w:rPr>
              <w:t>ct</w:t>
            </w:r>
            <w:r w:rsidRPr="009A2BCA">
              <w:rPr>
                <w:rFonts w:asciiTheme="minorHAnsi" w:hAnsiTheme="minorHAnsi"/>
                <w:sz w:val="22"/>
                <w:szCs w:val="22"/>
              </w:rPr>
              <w:t xml:space="preserve"> </w:t>
            </w:r>
          </w:p>
          <w:p w:rsidR="009A2BCA" w:rsidRPr="009A2BCA" w:rsidRDefault="00BD6F34" w:rsidP="009A2BCA">
            <w:pPr>
              <w:pStyle w:val="ListParagraph"/>
              <w:numPr>
                <w:ilvl w:val="0"/>
                <w:numId w:val="2"/>
              </w:numPr>
              <w:rPr>
                <w:rFonts w:asciiTheme="minorHAnsi" w:hAnsiTheme="minorHAnsi" w:cs="Arial"/>
                <w:sz w:val="22"/>
                <w:szCs w:val="22"/>
              </w:rPr>
            </w:pPr>
            <w:r w:rsidRPr="00BD6F34">
              <w:rPr>
                <w:rFonts w:asciiTheme="minorHAnsi" w:hAnsiTheme="minorHAnsi"/>
                <w:b/>
                <w:bCs/>
                <w:sz w:val="22"/>
                <w:szCs w:val="22"/>
                <w:lang w:eastAsia="en-GB"/>
              </w:rPr>
              <w:t xml:space="preserve">The adjustment to last year’s domestic borrowing </w:t>
            </w:r>
            <w:r w:rsidR="009A2BCA">
              <w:rPr>
                <w:rFonts w:asciiTheme="minorHAnsi" w:hAnsiTheme="minorHAnsi"/>
                <w:b/>
                <w:bCs/>
                <w:sz w:val="22"/>
                <w:szCs w:val="22"/>
                <w:lang w:eastAsia="en-GB"/>
              </w:rPr>
              <w:t>and</w:t>
            </w:r>
            <w:r w:rsidRPr="00BD6F34">
              <w:rPr>
                <w:rFonts w:asciiTheme="minorHAnsi" w:hAnsiTheme="minorHAnsi"/>
                <w:b/>
                <w:bCs/>
                <w:sz w:val="22"/>
                <w:szCs w:val="22"/>
                <w:lang w:eastAsia="en-GB"/>
              </w:rPr>
              <w:t xml:space="preserve"> this year’s potential revenue shortfall</w:t>
            </w:r>
            <w:r w:rsidRPr="00F677BF">
              <w:rPr>
                <w:rFonts w:asciiTheme="minorHAnsi" w:hAnsiTheme="minorHAnsi"/>
                <w:bCs/>
                <w:sz w:val="22"/>
                <w:szCs w:val="22"/>
                <w:lang w:eastAsia="en-GB"/>
              </w:rPr>
              <w:t xml:space="preserve"> </w:t>
            </w:r>
          </w:p>
          <w:p w:rsidR="007E349A" w:rsidRPr="001B2035" w:rsidRDefault="009A2BCA" w:rsidP="009A2BCA">
            <w:pPr>
              <w:pStyle w:val="ListParagraph"/>
              <w:numPr>
                <w:ilvl w:val="0"/>
                <w:numId w:val="2"/>
              </w:numPr>
              <w:rPr>
                <w:rFonts w:asciiTheme="minorHAnsi" w:hAnsiTheme="minorHAnsi" w:cs="Arial"/>
                <w:sz w:val="22"/>
                <w:szCs w:val="22"/>
              </w:rPr>
            </w:pPr>
            <w:r>
              <w:rPr>
                <w:rFonts w:asciiTheme="minorHAnsi" w:hAnsiTheme="minorHAnsi"/>
                <w:b/>
                <w:sz w:val="22"/>
                <w:szCs w:val="22"/>
              </w:rPr>
              <w:t>G</w:t>
            </w:r>
            <w:r w:rsidR="00BD6F34" w:rsidRPr="00BD6F34">
              <w:rPr>
                <w:rFonts w:asciiTheme="minorHAnsi" w:hAnsiTheme="minorHAnsi"/>
                <w:b/>
                <w:sz w:val="22"/>
                <w:szCs w:val="22"/>
              </w:rPr>
              <w:t>oal of renewing the PSI arrangement with IMF</w:t>
            </w:r>
          </w:p>
        </w:tc>
      </w:tr>
      <w:tr w:rsidR="007E349A" w:rsidTr="00045CBC">
        <w:tc>
          <w:tcPr>
            <w:tcW w:w="4644" w:type="dxa"/>
            <w:tcBorders>
              <w:bottom w:val="nil"/>
            </w:tcBorders>
            <w:shd w:val="clear" w:color="auto" w:fill="D9D9D9" w:themeFill="background1" w:themeFillShade="D9"/>
          </w:tcPr>
          <w:p w:rsidR="007E349A" w:rsidRDefault="007E349A" w:rsidP="00E13040">
            <w:pPr>
              <w:jc w:val="center"/>
              <w:rPr>
                <w:rFonts w:asciiTheme="minorHAnsi" w:hAnsiTheme="minorHAnsi"/>
                <w:b/>
                <w:i/>
                <w:sz w:val="22"/>
                <w:szCs w:val="22"/>
              </w:rPr>
            </w:pPr>
          </w:p>
          <w:p w:rsidR="007E349A" w:rsidRPr="007B42F7" w:rsidRDefault="007E349A" w:rsidP="00E13040">
            <w:pPr>
              <w:jc w:val="center"/>
              <w:rPr>
                <w:rFonts w:asciiTheme="minorHAnsi" w:hAnsiTheme="minorHAnsi"/>
                <w:b/>
                <w:sz w:val="22"/>
                <w:szCs w:val="22"/>
              </w:rPr>
            </w:pPr>
            <w:r>
              <w:rPr>
                <w:rFonts w:asciiTheme="minorHAnsi" w:hAnsiTheme="minorHAnsi"/>
                <w:b/>
                <w:sz w:val="22"/>
                <w:szCs w:val="22"/>
              </w:rPr>
              <w:t xml:space="preserve">(2) </w:t>
            </w:r>
            <w:r w:rsidRPr="007B42F7">
              <w:rPr>
                <w:rFonts w:asciiTheme="minorHAnsi" w:hAnsiTheme="minorHAnsi"/>
                <w:b/>
                <w:sz w:val="22"/>
                <w:szCs w:val="22"/>
              </w:rPr>
              <w:t xml:space="preserve">Commitment to achieving </w:t>
            </w:r>
            <w:r w:rsidR="00045CBC">
              <w:rPr>
                <w:rFonts w:asciiTheme="minorHAnsi" w:hAnsiTheme="minorHAnsi"/>
                <w:b/>
                <w:sz w:val="22"/>
                <w:szCs w:val="22"/>
              </w:rPr>
              <w:br/>
            </w:r>
            <w:r w:rsidRPr="007B42F7">
              <w:rPr>
                <w:rFonts w:asciiTheme="minorHAnsi" w:hAnsiTheme="minorHAnsi"/>
                <w:b/>
                <w:sz w:val="22"/>
                <w:szCs w:val="22"/>
              </w:rPr>
              <w:t>MKUKUTA II objectives and MDGs</w:t>
            </w:r>
          </w:p>
        </w:tc>
        <w:tc>
          <w:tcPr>
            <w:tcW w:w="1843" w:type="dxa"/>
            <w:gridSpan w:val="2"/>
            <w:tcBorders>
              <w:bottom w:val="nil"/>
            </w:tcBorders>
            <w:shd w:val="clear" w:color="auto" w:fill="FFC000"/>
          </w:tcPr>
          <w:p w:rsidR="007E349A" w:rsidRDefault="007E349A" w:rsidP="00E13040">
            <w:pPr>
              <w:jc w:val="center"/>
              <w:rPr>
                <w:rFonts w:asciiTheme="minorHAnsi" w:hAnsiTheme="minorHAnsi"/>
                <w:b/>
                <w:sz w:val="22"/>
                <w:szCs w:val="22"/>
              </w:rPr>
            </w:pPr>
          </w:p>
          <w:p w:rsidR="007E349A" w:rsidRPr="00DA5947" w:rsidRDefault="007E349A" w:rsidP="00E13040">
            <w:pPr>
              <w:jc w:val="center"/>
              <w:rPr>
                <w:rFonts w:asciiTheme="minorHAnsi" w:hAnsiTheme="minorHAnsi"/>
                <w:b/>
                <w:sz w:val="22"/>
                <w:szCs w:val="22"/>
              </w:rPr>
            </w:pPr>
            <w:r>
              <w:rPr>
                <w:rFonts w:asciiTheme="minorHAnsi" w:hAnsiTheme="minorHAnsi"/>
                <w:b/>
                <w:sz w:val="22"/>
                <w:szCs w:val="22"/>
              </w:rPr>
              <w:t>Orange</w:t>
            </w:r>
          </w:p>
        </w:tc>
        <w:tc>
          <w:tcPr>
            <w:tcW w:w="9356" w:type="dxa"/>
            <w:tcBorders>
              <w:bottom w:val="nil"/>
            </w:tcBorders>
          </w:tcPr>
          <w:p w:rsidR="00417C52" w:rsidRPr="00417C52" w:rsidRDefault="00417C52" w:rsidP="001E11BF">
            <w:pPr>
              <w:pStyle w:val="ListParagraph"/>
              <w:numPr>
                <w:ilvl w:val="0"/>
                <w:numId w:val="1"/>
              </w:numPr>
              <w:rPr>
                <w:rFonts w:asciiTheme="minorHAnsi" w:hAnsiTheme="minorHAnsi"/>
                <w:sz w:val="22"/>
                <w:szCs w:val="22"/>
              </w:rPr>
            </w:pPr>
            <w:r w:rsidRPr="00417C52">
              <w:rPr>
                <w:rFonts w:asciiTheme="minorHAnsi" w:hAnsiTheme="minorHAnsi"/>
                <w:b/>
                <w:sz w:val="22"/>
                <w:szCs w:val="22"/>
              </w:rPr>
              <w:t>Pro-Poor Policies</w:t>
            </w:r>
            <w:r w:rsidRPr="00417C52">
              <w:rPr>
                <w:rFonts w:asciiTheme="minorHAnsi" w:hAnsiTheme="minorHAnsi"/>
                <w:sz w:val="22"/>
                <w:szCs w:val="22"/>
              </w:rPr>
              <w:t xml:space="preserve"> </w:t>
            </w:r>
          </w:p>
          <w:p w:rsidR="009A2BCA" w:rsidRPr="009A2BCA" w:rsidRDefault="00417C52" w:rsidP="001E11BF">
            <w:pPr>
              <w:pStyle w:val="ListParagraph"/>
              <w:numPr>
                <w:ilvl w:val="0"/>
                <w:numId w:val="1"/>
              </w:numPr>
              <w:rPr>
                <w:rFonts w:asciiTheme="minorHAnsi" w:hAnsiTheme="minorHAnsi"/>
                <w:sz w:val="22"/>
                <w:szCs w:val="22"/>
              </w:rPr>
            </w:pPr>
            <w:r w:rsidRPr="009A2BCA">
              <w:rPr>
                <w:rFonts w:asciiTheme="minorHAnsi" w:hAnsiTheme="minorHAnsi"/>
                <w:b/>
                <w:sz w:val="22"/>
                <w:szCs w:val="22"/>
              </w:rPr>
              <w:t>Inclusive Growth</w:t>
            </w:r>
          </w:p>
          <w:p w:rsidR="009A2BCA" w:rsidRPr="009A2BCA" w:rsidRDefault="009A2BCA" w:rsidP="009A2BCA">
            <w:pPr>
              <w:pStyle w:val="ListParagraph"/>
              <w:numPr>
                <w:ilvl w:val="0"/>
                <w:numId w:val="1"/>
              </w:numPr>
              <w:rPr>
                <w:rFonts w:asciiTheme="minorHAnsi" w:hAnsiTheme="minorHAnsi"/>
                <w:sz w:val="22"/>
                <w:szCs w:val="22"/>
              </w:rPr>
            </w:pPr>
            <w:r>
              <w:rPr>
                <w:rFonts w:asciiTheme="minorHAnsi" w:hAnsiTheme="minorHAnsi"/>
                <w:b/>
                <w:sz w:val="22"/>
                <w:szCs w:val="22"/>
              </w:rPr>
              <w:t xml:space="preserve">Attention to </w:t>
            </w:r>
            <w:r w:rsidR="00417C52" w:rsidRPr="009A2BCA">
              <w:rPr>
                <w:rFonts w:asciiTheme="minorHAnsi" w:hAnsiTheme="minorHAnsi"/>
                <w:b/>
                <w:sz w:val="22"/>
                <w:szCs w:val="22"/>
              </w:rPr>
              <w:t>MDGs</w:t>
            </w:r>
          </w:p>
          <w:p w:rsidR="009A2BCA" w:rsidRDefault="00417C52" w:rsidP="009A2BCA">
            <w:pPr>
              <w:pStyle w:val="ListParagraph"/>
              <w:numPr>
                <w:ilvl w:val="0"/>
                <w:numId w:val="1"/>
              </w:numPr>
              <w:rPr>
                <w:rFonts w:asciiTheme="minorHAnsi" w:hAnsiTheme="minorHAnsi"/>
                <w:b/>
                <w:sz w:val="22"/>
                <w:szCs w:val="22"/>
              </w:rPr>
            </w:pPr>
            <w:r w:rsidRPr="00417C52">
              <w:rPr>
                <w:rFonts w:asciiTheme="minorHAnsi" w:hAnsiTheme="minorHAnsi"/>
                <w:b/>
                <w:sz w:val="22"/>
                <w:szCs w:val="22"/>
              </w:rPr>
              <w:t>Equity &amp; quality services</w:t>
            </w:r>
          </w:p>
          <w:p w:rsidR="007E349A" w:rsidRPr="003B3FE4" w:rsidRDefault="00417C52" w:rsidP="009A2BCA">
            <w:pPr>
              <w:pStyle w:val="ListParagraph"/>
              <w:numPr>
                <w:ilvl w:val="0"/>
                <w:numId w:val="1"/>
              </w:numPr>
              <w:rPr>
                <w:rFonts w:asciiTheme="minorHAnsi" w:hAnsiTheme="minorHAnsi"/>
                <w:b/>
                <w:sz w:val="22"/>
                <w:szCs w:val="22"/>
              </w:rPr>
            </w:pPr>
            <w:r w:rsidRPr="00417C52">
              <w:rPr>
                <w:rFonts w:asciiTheme="minorHAnsi" w:hAnsiTheme="minorHAnsi"/>
                <w:b/>
                <w:sz w:val="22"/>
                <w:szCs w:val="22"/>
              </w:rPr>
              <w:t>Better data</w:t>
            </w:r>
          </w:p>
        </w:tc>
      </w:tr>
    </w:tbl>
    <w:p w:rsidR="007E349A" w:rsidRPr="00115B45" w:rsidRDefault="007E349A" w:rsidP="007E349A">
      <w:pPr>
        <w:jc w:val="both"/>
        <w:rPr>
          <w:rFonts w:cs="Arial"/>
          <w:sz w:val="20"/>
          <w:szCs w:val="20"/>
          <w:lang w:val="en-US"/>
        </w:rPr>
      </w:pPr>
    </w:p>
    <w:tbl>
      <w:tblPr>
        <w:tblStyle w:val="TableGrid"/>
        <w:tblW w:w="15843" w:type="dxa"/>
        <w:tblLayout w:type="fixed"/>
        <w:tblLook w:val="04A0" w:firstRow="1" w:lastRow="0" w:firstColumn="1" w:lastColumn="0" w:noHBand="0" w:noVBand="1"/>
      </w:tblPr>
      <w:tblGrid>
        <w:gridCol w:w="4644"/>
        <w:gridCol w:w="851"/>
        <w:gridCol w:w="992"/>
        <w:gridCol w:w="9356"/>
      </w:tblGrid>
      <w:tr w:rsidR="007E349A" w:rsidTr="00DE2588">
        <w:tc>
          <w:tcPr>
            <w:tcW w:w="4644" w:type="dxa"/>
            <w:shd w:val="clear" w:color="auto" w:fill="D9D9D9" w:themeFill="background1" w:themeFillShade="D9"/>
          </w:tcPr>
          <w:p w:rsidR="007E349A" w:rsidRPr="00DA5947" w:rsidRDefault="007E349A" w:rsidP="00E13040">
            <w:pPr>
              <w:jc w:val="center"/>
              <w:rPr>
                <w:rFonts w:asciiTheme="minorHAnsi" w:hAnsiTheme="minorHAnsi"/>
                <w:b/>
                <w:i/>
                <w:sz w:val="22"/>
                <w:szCs w:val="22"/>
              </w:rPr>
            </w:pPr>
          </w:p>
          <w:p w:rsidR="007E349A" w:rsidRPr="007B42F7" w:rsidRDefault="007E349A" w:rsidP="00E13040">
            <w:pPr>
              <w:jc w:val="center"/>
              <w:rPr>
                <w:rFonts w:asciiTheme="minorHAnsi" w:hAnsiTheme="minorHAnsi"/>
                <w:b/>
                <w:sz w:val="22"/>
                <w:szCs w:val="22"/>
                <w:u w:val="single"/>
              </w:rPr>
            </w:pPr>
            <w:r>
              <w:rPr>
                <w:rFonts w:asciiTheme="minorHAnsi" w:hAnsiTheme="minorHAnsi"/>
                <w:b/>
                <w:sz w:val="22"/>
                <w:szCs w:val="22"/>
              </w:rPr>
              <w:t xml:space="preserve">(3) </w:t>
            </w:r>
            <w:r w:rsidRPr="007B42F7">
              <w:rPr>
                <w:rFonts w:asciiTheme="minorHAnsi" w:hAnsiTheme="minorHAnsi"/>
                <w:b/>
                <w:sz w:val="22"/>
                <w:szCs w:val="22"/>
              </w:rPr>
              <w:t>Continually strengthened budgeting and public financial management systems</w:t>
            </w:r>
          </w:p>
        </w:tc>
        <w:tc>
          <w:tcPr>
            <w:tcW w:w="1843" w:type="dxa"/>
            <w:gridSpan w:val="2"/>
            <w:shd w:val="clear" w:color="auto" w:fill="92D050"/>
          </w:tcPr>
          <w:p w:rsidR="007E349A" w:rsidRPr="00DA5947" w:rsidRDefault="007E349A" w:rsidP="00E13040">
            <w:pPr>
              <w:jc w:val="center"/>
              <w:rPr>
                <w:rFonts w:asciiTheme="minorHAnsi" w:hAnsiTheme="minorHAnsi"/>
                <w:b/>
                <w:sz w:val="22"/>
                <w:szCs w:val="22"/>
              </w:rPr>
            </w:pPr>
          </w:p>
          <w:p w:rsidR="007E349A" w:rsidRPr="00DA5947" w:rsidRDefault="007E349A" w:rsidP="00E13040">
            <w:pPr>
              <w:jc w:val="center"/>
              <w:rPr>
                <w:rFonts w:asciiTheme="minorHAnsi" w:hAnsiTheme="minorHAnsi"/>
                <w:b/>
                <w:sz w:val="22"/>
                <w:szCs w:val="22"/>
              </w:rPr>
            </w:pPr>
            <w:r w:rsidRPr="00DA5947">
              <w:rPr>
                <w:rFonts w:asciiTheme="minorHAnsi" w:hAnsiTheme="minorHAnsi"/>
                <w:b/>
                <w:sz w:val="22"/>
                <w:szCs w:val="22"/>
              </w:rPr>
              <w:t>Green</w:t>
            </w:r>
          </w:p>
        </w:tc>
        <w:tc>
          <w:tcPr>
            <w:tcW w:w="9356" w:type="dxa"/>
          </w:tcPr>
          <w:p w:rsidR="008B2BC4" w:rsidRPr="009A2BCA" w:rsidRDefault="008B2BC4" w:rsidP="009A2BCA">
            <w:pPr>
              <w:pStyle w:val="ListParagraph"/>
              <w:numPr>
                <w:ilvl w:val="0"/>
                <w:numId w:val="1"/>
              </w:numPr>
              <w:rPr>
                <w:rFonts w:asciiTheme="minorHAnsi" w:hAnsiTheme="minorHAnsi"/>
                <w:b/>
                <w:sz w:val="22"/>
                <w:szCs w:val="22"/>
              </w:rPr>
            </w:pPr>
            <w:r w:rsidRPr="009A2BCA">
              <w:rPr>
                <w:rFonts w:asciiTheme="minorHAnsi" w:hAnsiTheme="minorHAnsi"/>
                <w:b/>
                <w:sz w:val="22"/>
                <w:szCs w:val="22"/>
              </w:rPr>
              <w:t>Budget Credibility</w:t>
            </w:r>
          </w:p>
          <w:p w:rsidR="008B2BC4" w:rsidRPr="009A2BCA" w:rsidRDefault="008B2BC4" w:rsidP="009A2BCA">
            <w:pPr>
              <w:pStyle w:val="ListParagraph"/>
              <w:numPr>
                <w:ilvl w:val="0"/>
                <w:numId w:val="1"/>
              </w:numPr>
              <w:rPr>
                <w:rFonts w:asciiTheme="minorHAnsi" w:hAnsiTheme="minorHAnsi"/>
                <w:b/>
                <w:sz w:val="22"/>
                <w:szCs w:val="22"/>
              </w:rPr>
            </w:pPr>
            <w:r w:rsidRPr="009A2BCA">
              <w:rPr>
                <w:rFonts w:asciiTheme="minorHAnsi" w:hAnsiTheme="minorHAnsi"/>
                <w:b/>
                <w:sz w:val="22"/>
                <w:szCs w:val="22"/>
              </w:rPr>
              <w:t>Legislative Reforms</w:t>
            </w:r>
          </w:p>
          <w:p w:rsidR="007E349A" w:rsidRPr="009A2BCA" w:rsidRDefault="008B2BC4" w:rsidP="009A2BCA">
            <w:pPr>
              <w:pStyle w:val="ListParagraph"/>
              <w:numPr>
                <w:ilvl w:val="0"/>
                <w:numId w:val="1"/>
              </w:numPr>
              <w:rPr>
                <w:rFonts w:asciiTheme="minorHAnsi" w:hAnsiTheme="minorHAnsi"/>
                <w:b/>
                <w:sz w:val="22"/>
                <w:szCs w:val="22"/>
              </w:rPr>
            </w:pPr>
            <w:r w:rsidRPr="009A2BCA">
              <w:rPr>
                <w:rFonts w:asciiTheme="minorHAnsi" w:hAnsiTheme="minorHAnsi"/>
                <w:b/>
                <w:sz w:val="22"/>
                <w:szCs w:val="22"/>
              </w:rPr>
              <w:t>Debt Sustainability &amp; Fiscal Risk</w:t>
            </w:r>
          </w:p>
        </w:tc>
      </w:tr>
      <w:tr w:rsidR="009A2BCA" w:rsidTr="00DE2588">
        <w:tc>
          <w:tcPr>
            <w:tcW w:w="4644" w:type="dxa"/>
            <w:shd w:val="clear" w:color="auto" w:fill="D9D9D9" w:themeFill="background1" w:themeFillShade="D9"/>
          </w:tcPr>
          <w:p w:rsidR="007E349A" w:rsidRDefault="007E349A" w:rsidP="00E13040">
            <w:pPr>
              <w:jc w:val="center"/>
              <w:rPr>
                <w:rFonts w:asciiTheme="minorHAnsi" w:hAnsiTheme="minorHAnsi"/>
                <w:b/>
                <w:sz w:val="22"/>
                <w:szCs w:val="22"/>
              </w:rPr>
            </w:pPr>
          </w:p>
          <w:p w:rsidR="007E349A" w:rsidRPr="007B42F7" w:rsidRDefault="007E349A" w:rsidP="00E13040">
            <w:pPr>
              <w:jc w:val="center"/>
              <w:rPr>
                <w:rFonts w:asciiTheme="minorHAnsi" w:hAnsiTheme="minorHAnsi"/>
                <w:b/>
                <w:sz w:val="22"/>
                <w:szCs w:val="22"/>
              </w:rPr>
            </w:pPr>
            <w:r>
              <w:rPr>
                <w:rFonts w:asciiTheme="minorHAnsi" w:hAnsiTheme="minorHAnsi"/>
                <w:b/>
                <w:sz w:val="22"/>
                <w:szCs w:val="22"/>
              </w:rPr>
              <w:t xml:space="preserve">(4) </w:t>
            </w:r>
            <w:r w:rsidRPr="007B42F7">
              <w:rPr>
                <w:rFonts w:asciiTheme="minorHAnsi" w:hAnsiTheme="minorHAnsi"/>
                <w:b/>
                <w:sz w:val="22"/>
                <w:szCs w:val="22"/>
              </w:rPr>
              <w:t>Continuing peace and respect for human rights, the rule of law, democratic principles,</w:t>
            </w:r>
          </w:p>
          <w:p w:rsidR="007E349A" w:rsidRPr="00DA5947" w:rsidRDefault="007E349A" w:rsidP="00E13040">
            <w:pPr>
              <w:jc w:val="center"/>
              <w:rPr>
                <w:rFonts w:asciiTheme="minorHAnsi" w:hAnsiTheme="minorHAnsi"/>
                <w:b/>
                <w:sz w:val="22"/>
                <w:szCs w:val="22"/>
                <w:u w:val="single"/>
              </w:rPr>
            </w:pPr>
            <w:r w:rsidRPr="007B42F7">
              <w:rPr>
                <w:rFonts w:asciiTheme="minorHAnsi" w:hAnsiTheme="minorHAnsi"/>
                <w:b/>
                <w:sz w:val="22"/>
                <w:szCs w:val="22"/>
              </w:rPr>
              <w:t>and the independence of the judiciary</w:t>
            </w:r>
          </w:p>
        </w:tc>
        <w:tc>
          <w:tcPr>
            <w:tcW w:w="851" w:type="dxa"/>
            <w:tcBorders>
              <w:bottom w:val="single" w:sz="4" w:space="0" w:color="auto"/>
            </w:tcBorders>
            <w:shd w:val="clear" w:color="auto" w:fill="92D050"/>
          </w:tcPr>
          <w:p w:rsidR="007E349A" w:rsidRDefault="007E349A" w:rsidP="00E13040">
            <w:pPr>
              <w:jc w:val="center"/>
              <w:rPr>
                <w:rFonts w:asciiTheme="minorHAnsi" w:hAnsiTheme="minorHAnsi"/>
                <w:b/>
                <w:sz w:val="22"/>
                <w:szCs w:val="22"/>
              </w:rPr>
            </w:pPr>
          </w:p>
          <w:p w:rsidR="007E349A" w:rsidRPr="00115B45" w:rsidRDefault="007E349A" w:rsidP="00E13040">
            <w:pPr>
              <w:jc w:val="center"/>
              <w:rPr>
                <w:rFonts w:asciiTheme="minorHAnsi" w:hAnsiTheme="minorHAnsi"/>
                <w:b/>
                <w:sz w:val="22"/>
                <w:szCs w:val="22"/>
              </w:rPr>
            </w:pPr>
            <w:r w:rsidRPr="00115B45">
              <w:rPr>
                <w:rFonts w:asciiTheme="minorHAnsi" w:hAnsiTheme="minorHAnsi"/>
                <w:b/>
                <w:sz w:val="22"/>
                <w:szCs w:val="22"/>
              </w:rPr>
              <w:t>Green</w:t>
            </w:r>
          </w:p>
        </w:tc>
        <w:tc>
          <w:tcPr>
            <w:tcW w:w="992" w:type="dxa"/>
            <w:tcBorders>
              <w:bottom w:val="single" w:sz="4" w:space="0" w:color="auto"/>
            </w:tcBorders>
            <w:shd w:val="clear" w:color="auto" w:fill="FFC000"/>
          </w:tcPr>
          <w:p w:rsidR="007E349A" w:rsidRDefault="007E349A" w:rsidP="00E13040">
            <w:pPr>
              <w:jc w:val="center"/>
              <w:rPr>
                <w:rFonts w:asciiTheme="minorHAnsi" w:hAnsiTheme="minorHAnsi"/>
                <w:b/>
                <w:sz w:val="22"/>
                <w:szCs w:val="22"/>
              </w:rPr>
            </w:pPr>
          </w:p>
          <w:p w:rsidR="007E349A" w:rsidRPr="00115B45" w:rsidRDefault="007E349A" w:rsidP="00E13040">
            <w:pPr>
              <w:jc w:val="center"/>
              <w:rPr>
                <w:rFonts w:asciiTheme="minorHAnsi" w:hAnsiTheme="minorHAnsi"/>
                <w:b/>
                <w:sz w:val="22"/>
                <w:szCs w:val="22"/>
              </w:rPr>
            </w:pPr>
            <w:r w:rsidRPr="00115B45">
              <w:rPr>
                <w:rFonts w:asciiTheme="minorHAnsi" w:hAnsiTheme="minorHAnsi"/>
                <w:b/>
                <w:sz w:val="22"/>
                <w:szCs w:val="22"/>
              </w:rPr>
              <w:t>Orange</w:t>
            </w:r>
          </w:p>
        </w:tc>
        <w:tc>
          <w:tcPr>
            <w:tcW w:w="9354" w:type="dxa"/>
          </w:tcPr>
          <w:p w:rsidR="009A2BCA" w:rsidRPr="009A2BCA" w:rsidRDefault="00014DDC" w:rsidP="00014DDC">
            <w:pPr>
              <w:pStyle w:val="ListParagraph"/>
              <w:numPr>
                <w:ilvl w:val="0"/>
                <w:numId w:val="12"/>
              </w:numPr>
              <w:rPr>
                <w:rFonts w:asciiTheme="minorHAnsi" w:hAnsiTheme="minorHAnsi"/>
                <w:b/>
                <w:sz w:val="22"/>
                <w:szCs w:val="22"/>
              </w:rPr>
            </w:pPr>
            <w:r w:rsidRPr="009A2BCA">
              <w:rPr>
                <w:rFonts w:asciiTheme="minorHAnsi" w:hAnsiTheme="minorHAnsi"/>
                <w:b/>
                <w:sz w:val="22"/>
                <w:szCs w:val="22"/>
              </w:rPr>
              <w:t>Need to advance progressive legislative reforms</w:t>
            </w:r>
          </w:p>
          <w:p w:rsidR="009A2BCA" w:rsidRDefault="009A2BCA" w:rsidP="00014DDC">
            <w:pPr>
              <w:pStyle w:val="ListParagraph"/>
              <w:numPr>
                <w:ilvl w:val="0"/>
                <w:numId w:val="12"/>
              </w:numPr>
              <w:rPr>
                <w:rFonts w:asciiTheme="minorHAnsi" w:hAnsiTheme="minorHAnsi"/>
                <w:sz w:val="22"/>
                <w:szCs w:val="22"/>
              </w:rPr>
            </w:pPr>
            <w:r w:rsidRPr="009A2BCA">
              <w:rPr>
                <w:rFonts w:asciiTheme="minorHAnsi" w:hAnsiTheme="minorHAnsi"/>
                <w:b/>
                <w:sz w:val="22"/>
                <w:szCs w:val="22"/>
              </w:rPr>
              <w:t>I</w:t>
            </w:r>
            <w:r w:rsidR="00014DDC" w:rsidRPr="009A2BCA">
              <w:rPr>
                <w:rFonts w:asciiTheme="minorHAnsi" w:hAnsiTheme="minorHAnsi"/>
                <w:b/>
                <w:sz w:val="22"/>
                <w:szCs w:val="22"/>
              </w:rPr>
              <w:t>mplementation of accepted UPR recommendations</w:t>
            </w:r>
            <w:r w:rsidR="00014DDC" w:rsidRPr="009A2BCA">
              <w:rPr>
                <w:rFonts w:asciiTheme="minorHAnsi" w:hAnsiTheme="minorHAnsi"/>
                <w:sz w:val="22"/>
                <w:szCs w:val="22"/>
              </w:rPr>
              <w:t xml:space="preserve"> </w:t>
            </w:r>
          </w:p>
          <w:p w:rsidR="009A2BCA" w:rsidRPr="009A2BCA" w:rsidRDefault="009A2BCA" w:rsidP="009A2BCA">
            <w:pPr>
              <w:pStyle w:val="ListParagraph"/>
              <w:numPr>
                <w:ilvl w:val="0"/>
                <w:numId w:val="12"/>
              </w:numPr>
              <w:rPr>
                <w:rFonts w:asciiTheme="minorHAnsi" w:hAnsiTheme="minorHAnsi"/>
                <w:sz w:val="22"/>
                <w:szCs w:val="22"/>
              </w:rPr>
            </w:pPr>
            <w:r>
              <w:rPr>
                <w:rFonts w:asciiTheme="minorHAnsi" w:hAnsiTheme="minorHAnsi"/>
                <w:b/>
                <w:sz w:val="22"/>
                <w:szCs w:val="22"/>
              </w:rPr>
              <w:t>T</w:t>
            </w:r>
            <w:r w:rsidR="00014DDC" w:rsidRPr="009A2BCA">
              <w:rPr>
                <w:rFonts w:asciiTheme="minorHAnsi" w:hAnsiTheme="minorHAnsi"/>
                <w:b/>
                <w:sz w:val="22"/>
                <w:szCs w:val="22"/>
              </w:rPr>
              <w:t>ransparency and security of land tenure</w:t>
            </w:r>
          </w:p>
          <w:p w:rsidR="007E349A" w:rsidRPr="007D1254" w:rsidRDefault="009A2BCA" w:rsidP="009A2BCA">
            <w:pPr>
              <w:pStyle w:val="ListParagraph"/>
              <w:numPr>
                <w:ilvl w:val="0"/>
                <w:numId w:val="9"/>
              </w:numPr>
              <w:rPr>
                <w:rFonts w:asciiTheme="minorHAnsi" w:hAnsiTheme="minorHAnsi"/>
                <w:sz w:val="22"/>
                <w:szCs w:val="22"/>
              </w:rPr>
            </w:pPr>
            <w:r>
              <w:rPr>
                <w:rFonts w:asciiTheme="minorHAnsi" w:hAnsiTheme="minorHAnsi"/>
                <w:b/>
                <w:sz w:val="22"/>
                <w:szCs w:val="22"/>
              </w:rPr>
              <w:t>E</w:t>
            </w:r>
            <w:r w:rsidR="00014DDC" w:rsidRPr="00014DDC">
              <w:rPr>
                <w:rFonts w:asciiTheme="minorHAnsi" w:hAnsiTheme="minorHAnsi"/>
                <w:b/>
                <w:sz w:val="22"/>
                <w:szCs w:val="22"/>
              </w:rPr>
              <w:t>ffectiveness of the election management bodies</w:t>
            </w:r>
            <w:r w:rsidR="00014DDC">
              <w:rPr>
                <w:rFonts w:asciiTheme="minorHAnsi" w:hAnsiTheme="minorHAnsi"/>
                <w:sz w:val="22"/>
                <w:szCs w:val="22"/>
              </w:rPr>
              <w:t xml:space="preserve"> </w:t>
            </w:r>
          </w:p>
        </w:tc>
      </w:tr>
      <w:tr w:rsidR="007E349A" w:rsidTr="00DE2588">
        <w:tc>
          <w:tcPr>
            <w:tcW w:w="4644" w:type="dxa"/>
            <w:shd w:val="clear" w:color="auto" w:fill="D9D9D9" w:themeFill="background1" w:themeFillShade="D9"/>
          </w:tcPr>
          <w:p w:rsidR="007E349A" w:rsidRDefault="007E349A" w:rsidP="00E13040">
            <w:pPr>
              <w:jc w:val="center"/>
              <w:rPr>
                <w:rFonts w:asciiTheme="minorHAnsi" w:hAnsiTheme="minorHAnsi"/>
                <w:b/>
                <w:sz w:val="22"/>
                <w:szCs w:val="22"/>
              </w:rPr>
            </w:pPr>
          </w:p>
          <w:p w:rsidR="007E349A" w:rsidRPr="007B42F7" w:rsidRDefault="007E349A" w:rsidP="00E13040">
            <w:pPr>
              <w:jc w:val="center"/>
              <w:rPr>
                <w:rFonts w:asciiTheme="minorHAnsi" w:hAnsiTheme="minorHAnsi"/>
                <w:b/>
                <w:sz w:val="22"/>
                <w:szCs w:val="22"/>
              </w:rPr>
            </w:pPr>
            <w:r>
              <w:rPr>
                <w:rFonts w:asciiTheme="minorHAnsi" w:hAnsiTheme="minorHAnsi"/>
                <w:b/>
                <w:sz w:val="22"/>
                <w:szCs w:val="22"/>
              </w:rPr>
              <w:t xml:space="preserve">(5) </w:t>
            </w:r>
            <w:r w:rsidRPr="007B42F7">
              <w:rPr>
                <w:rFonts w:asciiTheme="minorHAnsi" w:hAnsiTheme="minorHAnsi"/>
                <w:b/>
                <w:sz w:val="22"/>
                <w:szCs w:val="22"/>
              </w:rPr>
              <w:t>Good governance, accountability of the Government to the citizenry, and integrity in public life, including the active fight against corruption in accordance with the laws of the United Republic of Tanzania</w:t>
            </w:r>
          </w:p>
        </w:tc>
        <w:tc>
          <w:tcPr>
            <w:tcW w:w="1843" w:type="dxa"/>
            <w:gridSpan w:val="2"/>
            <w:shd w:val="clear" w:color="auto" w:fill="FFC000"/>
          </w:tcPr>
          <w:p w:rsidR="007E349A" w:rsidRPr="009074E6" w:rsidRDefault="007E349A" w:rsidP="00E13040">
            <w:pPr>
              <w:rPr>
                <w:rFonts w:asciiTheme="minorHAnsi" w:hAnsiTheme="minorHAnsi"/>
                <w:b/>
                <w:i/>
                <w:sz w:val="20"/>
                <w:szCs w:val="20"/>
              </w:rPr>
            </w:pPr>
          </w:p>
          <w:p w:rsidR="007E349A" w:rsidRPr="009074E6" w:rsidRDefault="007E349A" w:rsidP="00E13040">
            <w:pPr>
              <w:rPr>
                <w:rFonts w:asciiTheme="minorHAnsi" w:hAnsiTheme="minorHAnsi"/>
                <w:b/>
                <w:i/>
                <w:sz w:val="20"/>
                <w:szCs w:val="20"/>
              </w:rPr>
            </w:pPr>
          </w:p>
          <w:p w:rsidR="007E349A" w:rsidRPr="009074E6" w:rsidRDefault="007E349A" w:rsidP="00E13040">
            <w:pPr>
              <w:jc w:val="center"/>
              <w:rPr>
                <w:rFonts w:asciiTheme="minorHAnsi" w:hAnsiTheme="minorHAnsi"/>
                <w:b/>
                <w:sz w:val="20"/>
                <w:szCs w:val="20"/>
              </w:rPr>
            </w:pPr>
            <w:r w:rsidRPr="009074E6">
              <w:rPr>
                <w:rFonts w:asciiTheme="minorHAnsi" w:hAnsiTheme="minorHAnsi"/>
                <w:b/>
                <w:sz w:val="20"/>
                <w:szCs w:val="20"/>
              </w:rPr>
              <w:t>Orange</w:t>
            </w:r>
          </w:p>
        </w:tc>
        <w:tc>
          <w:tcPr>
            <w:tcW w:w="9356" w:type="dxa"/>
          </w:tcPr>
          <w:p w:rsidR="004A24E6" w:rsidRPr="00917E0A" w:rsidRDefault="009A2BCA" w:rsidP="004A24E6">
            <w:pPr>
              <w:pStyle w:val="ListParagraph"/>
              <w:numPr>
                <w:ilvl w:val="0"/>
                <w:numId w:val="4"/>
              </w:numPr>
              <w:spacing w:after="60"/>
              <w:ind w:left="357" w:hanging="357"/>
              <w:rPr>
                <w:rFonts w:asciiTheme="minorHAnsi" w:hAnsiTheme="minorHAnsi"/>
                <w:sz w:val="22"/>
                <w:szCs w:val="22"/>
              </w:rPr>
            </w:pPr>
            <w:r>
              <w:rPr>
                <w:rFonts w:asciiTheme="minorHAnsi" w:hAnsiTheme="minorHAnsi"/>
                <w:sz w:val="22"/>
                <w:szCs w:val="22"/>
              </w:rPr>
              <w:t>M</w:t>
            </w:r>
            <w:r w:rsidR="004A24E6" w:rsidRPr="00917E0A">
              <w:rPr>
                <w:rFonts w:asciiTheme="minorHAnsi" w:hAnsiTheme="minorHAnsi"/>
                <w:b/>
                <w:sz w:val="22"/>
                <w:szCs w:val="22"/>
              </w:rPr>
              <w:t>ore active approach against corruption</w:t>
            </w:r>
            <w:r w:rsidR="004A24E6" w:rsidRPr="00917E0A">
              <w:rPr>
                <w:rFonts w:asciiTheme="minorHAnsi" w:hAnsiTheme="minorHAnsi"/>
                <w:sz w:val="22"/>
                <w:szCs w:val="22"/>
              </w:rPr>
              <w:t xml:space="preserve"> </w:t>
            </w:r>
          </w:p>
          <w:p w:rsidR="00DE2588" w:rsidRDefault="009A2BCA" w:rsidP="00DE2588">
            <w:pPr>
              <w:pStyle w:val="ListParagraph"/>
              <w:numPr>
                <w:ilvl w:val="0"/>
                <w:numId w:val="4"/>
              </w:numPr>
              <w:spacing w:after="60"/>
              <w:ind w:left="357" w:hanging="357"/>
              <w:rPr>
                <w:rFonts w:asciiTheme="minorHAnsi" w:hAnsiTheme="minorHAnsi"/>
                <w:sz w:val="22"/>
                <w:szCs w:val="22"/>
              </w:rPr>
            </w:pPr>
            <w:r w:rsidRPr="009A2BCA">
              <w:rPr>
                <w:rFonts w:asciiTheme="minorHAnsi" w:hAnsiTheme="minorHAnsi"/>
                <w:b/>
                <w:sz w:val="22"/>
                <w:szCs w:val="22"/>
              </w:rPr>
              <w:t>A</w:t>
            </w:r>
            <w:r w:rsidR="004A24E6" w:rsidRPr="009A2BCA">
              <w:rPr>
                <w:rFonts w:asciiTheme="minorHAnsi" w:hAnsiTheme="minorHAnsi"/>
                <w:b/>
                <w:sz w:val="22"/>
                <w:szCs w:val="22"/>
              </w:rPr>
              <w:t xml:space="preserve">dministrative sanctions for petty corruption </w:t>
            </w:r>
            <w:r w:rsidR="00DE2588">
              <w:rPr>
                <w:rFonts w:asciiTheme="minorHAnsi" w:hAnsiTheme="minorHAnsi"/>
                <w:b/>
                <w:sz w:val="22"/>
                <w:szCs w:val="22"/>
              </w:rPr>
              <w:t>offences</w:t>
            </w:r>
          </w:p>
          <w:p w:rsidR="004A24E6" w:rsidRPr="00DE2588" w:rsidRDefault="00DE2588" w:rsidP="00DE2588">
            <w:pPr>
              <w:pStyle w:val="ListParagraph"/>
              <w:numPr>
                <w:ilvl w:val="0"/>
                <w:numId w:val="4"/>
              </w:numPr>
              <w:spacing w:after="60"/>
              <w:ind w:left="357" w:hanging="357"/>
              <w:rPr>
                <w:rFonts w:asciiTheme="minorHAnsi" w:hAnsiTheme="minorHAnsi"/>
                <w:sz w:val="22"/>
                <w:szCs w:val="22"/>
              </w:rPr>
            </w:pPr>
            <w:r>
              <w:rPr>
                <w:rFonts w:asciiTheme="minorHAnsi" w:hAnsiTheme="minorHAnsi"/>
                <w:b/>
                <w:sz w:val="22"/>
                <w:szCs w:val="22"/>
              </w:rPr>
              <w:t>R</w:t>
            </w:r>
            <w:r w:rsidR="004A24E6" w:rsidRPr="00DE2588">
              <w:rPr>
                <w:rFonts w:asciiTheme="minorHAnsi" w:hAnsiTheme="minorHAnsi" w:cstheme="minorHAnsi"/>
                <w:b/>
                <w:sz w:val="22"/>
                <w:szCs w:val="22"/>
              </w:rPr>
              <w:t>egular, effective and well-informed HLD</w:t>
            </w:r>
            <w:r>
              <w:rPr>
                <w:rFonts w:asciiTheme="minorHAnsi" w:hAnsiTheme="minorHAnsi"/>
                <w:b/>
                <w:sz w:val="22"/>
                <w:szCs w:val="22"/>
              </w:rPr>
              <w:t xml:space="preserve"> on Anti-Corruption</w:t>
            </w:r>
          </w:p>
          <w:p w:rsidR="004A24E6" w:rsidRPr="00917E0A" w:rsidRDefault="00DE2588" w:rsidP="004A24E6">
            <w:pPr>
              <w:pStyle w:val="ListParagraph"/>
              <w:framePr w:hSpace="180" w:wrap="around" w:vAnchor="page" w:hAnchor="margin" w:y="1460"/>
              <w:numPr>
                <w:ilvl w:val="0"/>
                <w:numId w:val="4"/>
              </w:numPr>
              <w:spacing w:after="60"/>
              <w:rPr>
                <w:rFonts w:asciiTheme="minorHAnsi" w:hAnsiTheme="minorHAnsi"/>
                <w:sz w:val="22"/>
                <w:szCs w:val="22"/>
              </w:rPr>
            </w:pPr>
            <w:r>
              <w:rPr>
                <w:rFonts w:asciiTheme="minorHAnsi" w:hAnsiTheme="minorHAnsi"/>
                <w:sz w:val="22"/>
                <w:szCs w:val="22"/>
              </w:rPr>
              <w:t>A</w:t>
            </w:r>
            <w:r w:rsidR="004A24E6" w:rsidRPr="00917E0A">
              <w:rPr>
                <w:rFonts w:asciiTheme="minorHAnsi" w:hAnsiTheme="minorHAnsi"/>
                <w:b/>
                <w:sz w:val="22"/>
                <w:szCs w:val="22"/>
              </w:rPr>
              <w:t>ccess to information</w:t>
            </w:r>
            <w:r w:rsidR="004A24E6" w:rsidRPr="00917E0A">
              <w:rPr>
                <w:rFonts w:asciiTheme="minorHAnsi" w:hAnsiTheme="minorHAnsi"/>
                <w:sz w:val="22"/>
                <w:szCs w:val="22"/>
              </w:rPr>
              <w:t xml:space="preserve"> </w:t>
            </w:r>
          </w:p>
          <w:p w:rsidR="00DE2588" w:rsidRDefault="00DE2588" w:rsidP="00DE2588">
            <w:pPr>
              <w:numPr>
                <w:ilvl w:val="0"/>
                <w:numId w:val="4"/>
              </w:numPr>
              <w:spacing w:after="60"/>
              <w:contextualSpacing/>
              <w:rPr>
                <w:rFonts w:asciiTheme="minorHAnsi" w:hAnsiTheme="minorHAnsi" w:cstheme="minorHAnsi"/>
                <w:sz w:val="22"/>
                <w:szCs w:val="22"/>
              </w:rPr>
            </w:pPr>
            <w:r w:rsidRPr="00DE2588">
              <w:rPr>
                <w:rFonts w:asciiTheme="minorHAnsi" w:hAnsiTheme="minorHAnsi" w:cstheme="minorHAnsi"/>
                <w:b/>
                <w:sz w:val="22"/>
                <w:szCs w:val="22"/>
              </w:rPr>
              <w:t>I</w:t>
            </w:r>
            <w:r w:rsidR="004A24E6" w:rsidRPr="00DE2588">
              <w:rPr>
                <w:rFonts w:asciiTheme="minorHAnsi" w:hAnsiTheme="minorHAnsi" w:cstheme="minorHAnsi"/>
                <w:b/>
                <w:sz w:val="22"/>
                <w:szCs w:val="22"/>
              </w:rPr>
              <w:t xml:space="preserve">mplementation of the </w:t>
            </w:r>
            <w:r w:rsidR="004A24E6" w:rsidRPr="00917E0A">
              <w:rPr>
                <w:rFonts w:asciiTheme="minorHAnsi" w:hAnsiTheme="minorHAnsi" w:cstheme="minorHAnsi"/>
                <w:b/>
                <w:sz w:val="22"/>
                <w:szCs w:val="22"/>
              </w:rPr>
              <w:t>recommendations of CAG reports</w:t>
            </w:r>
            <w:r>
              <w:rPr>
                <w:rFonts w:asciiTheme="minorHAnsi" w:hAnsiTheme="minorHAnsi" w:cstheme="minorHAnsi"/>
                <w:b/>
                <w:sz w:val="22"/>
                <w:szCs w:val="22"/>
              </w:rPr>
              <w:t>; role of NAOT, Bunge</w:t>
            </w:r>
            <w:r w:rsidR="004A24E6" w:rsidRPr="00917E0A">
              <w:rPr>
                <w:rFonts w:asciiTheme="minorHAnsi" w:hAnsiTheme="minorHAnsi" w:cstheme="minorHAnsi"/>
                <w:sz w:val="22"/>
                <w:szCs w:val="22"/>
              </w:rPr>
              <w:t xml:space="preserve"> </w:t>
            </w:r>
          </w:p>
          <w:p w:rsidR="007E349A" w:rsidRPr="00DE2588" w:rsidRDefault="004A24E6" w:rsidP="00DE2588">
            <w:pPr>
              <w:numPr>
                <w:ilvl w:val="0"/>
                <w:numId w:val="4"/>
              </w:numPr>
              <w:spacing w:after="60"/>
              <w:contextualSpacing/>
              <w:rPr>
                <w:rFonts w:asciiTheme="minorHAnsi" w:hAnsiTheme="minorHAnsi" w:cstheme="minorHAnsi"/>
                <w:sz w:val="22"/>
                <w:szCs w:val="22"/>
              </w:rPr>
            </w:pPr>
            <w:r w:rsidRPr="00DE2588">
              <w:rPr>
                <w:rFonts w:asciiTheme="minorHAnsi" w:hAnsiTheme="minorHAnsi"/>
                <w:b/>
                <w:sz w:val="22"/>
                <w:szCs w:val="22"/>
              </w:rPr>
              <w:t xml:space="preserve">Constitutional Review </w:t>
            </w:r>
          </w:p>
        </w:tc>
      </w:tr>
    </w:tbl>
    <w:p w:rsidR="007E349A" w:rsidRDefault="007E349A" w:rsidP="007E349A">
      <w:pPr>
        <w:rPr>
          <w:rFonts w:ascii="Times New Roman" w:hAnsi="Times New Roman"/>
          <w:b/>
          <w:sz w:val="32"/>
          <w:u w:val="single"/>
        </w:rPr>
      </w:pPr>
    </w:p>
    <w:p w:rsidR="00F677BF" w:rsidRPr="00C2315F" w:rsidRDefault="00F677BF" w:rsidP="00F677BF">
      <w:pPr>
        <w:rPr>
          <w:rFonts w:asciiTheme="minorHAnsi" w:hAnsiTheme="minorHAnsi"/>
          <w:b/>
          <w:sz w:val="32"/>
          <w:szCs w:val="32"/>
          <w:u w:val="single"/>
        </w:rPr>
      </w:pPr>
      <w:r w:rsidRPr="00C2315F">
        <w:rPr>
          <w:rFonts w:asciiTheme="minorHAnsi" w:hAnsiTheme="minorHAnsi"/>
          <w:b/>
          <w:sz w:val="32"/>
          <w:szCs w:val="32"/>
          <w:u w:val="single"/>
        </w:rPr>
        <w:lastRenderedPageBreak/>
        <w:t>Underlying Principle 1</w:t>
      </w:r>
    </w:p>
    <w:p w:rsidR="00F677BF" w:rsidRPr="00A305F1" w:rsidRDefault="00F677BF" w:rsidP="00F677BF">
      <w:pPr>
        <w:jc w:val="center"/>
        <w:rPr>
          <w:rFonts w:asciiTheme="minorHAnsi" w:hAnsiTheme="minorHAnsi"/>
          <w:b/>
          <w:sz w:val="22"/>
          <w:szCs w:val="22"/>
          <w:u w:val="single"/>
        </w:rPr>
      </w:pPr>
    </w:p>
    <w:tbl>
      <w:tblPr>
        <w:tblStyle w:val="TableGrid"/>
        <w:tblW w:w="15984" w:type="dxa"/>
        <w:tblLayout w:type="fixed"/>
        <w:tblLook w:val="04A0" w:firstRow="1" w:lastRow="0" w:firstColumn="1" w:lastColumn="0" w:noHBand="0" w:noVBand="1"/>
      </w:tblPr>
      <w:tblGrid>
        <w:gridCol w:w="3794"/>
        <w:gridCol w:w="1134"/>
        <w:gridCol w:w="1134"/>
        <w:gridCol w:w="9922"/>
      </w:tblGrid>
      <w:tr w:rsidR="00DC5F7F" w:rsidRPr="00A305F1" w:rsidTr="00DC5F7F">
        <w:tc>
          <w:tcPr>
            <w:tcW w:w="3794" w:type="dxa"/>
            <w:shd w:val="clear" w:color="auto" w:fill="BFBFBF" w:themeFill="background1" w:themeFillShade="BF"/>
          </w:tcPr>
          <w:p w:rsidR="00DC5F7F" w:rsidRPr="00A305F1" w:rsidRDefault="00DC5F7F" w:rsidP="00906EC7">
            <w:pPr>
              <w:jc w:val="center"/>
              <w:rPr>
                <w:rFonts w:asciiTheme="minorHAnsi" w:hAnsiTheme="minorHAnsi" w:cs="Arial"/>
                <w:b/>
                <w:sz w:val="22"/>
                <w:szCs w:val="22"/>
                <w:u w:val="single"/>
              </w:rPr>
            </w:pPr>
            <w:r>
              <w:rPr>
                <w:rFonts w:asciiTheme="minorHAnsi" w:hAnsiTheme="minorHAnsi" w:cs="Arial"/>
                <w:b/>
                <w:sz w:val="22"/>
                <w:szCs w:val="22"/>
                <w:u w:val="single"/>
              </w:rPr>
              <w:t>UP 1</w:t>
            </w:r>
          </w:p>
        </w:tc>
        <w:tc>
          <w:tcPr>
            <w:tcW w:w="2268" w:type="dxa"/>
            <w:gridSpan w:val="2"/>
            <w:shd w:val="clear" w:color="auto" w:fill="BFBFBF" w:themeFill="background1" w:themeFillShade="BF"/>
          </w:tcPr>
          <w:p w:rsidR="00DC5F7F" w:rsidRPr="00A305F1" w:rsidRDefault="00DC5F7F" w:rsidP="00906EC7">
            <w:pPr>
              <w:jc w:val="center"/>
              <w:rPr>
                <w:rFonts w:asciiTheme="minorHAnsi" w:hAnsiTheme="minorHAnsi" w:cs="Arial"/>
                <w:b/>
                <w:sz w:val="22"/>
                <w:szCs w:val="22"/>
                <w:u w:val="single"/>
              </w:rPr>
            </w:pPr>
            <w:r w:rsidRPr="00A305F1">
              <w:rPr>
                <w:rFonts w:asciiTheme="minorHAnsi" w:hAnsiTheme="minorHAnsi" w:cs="Arial"/>
                <w:b/>
                <w:sz w:val="22"/>
                <w:szCs w:val="22"/>
                <w:u w:val="single"/>
              </w:rPr>
              <w:t>Summary Assessment</w:t>
            </w:r>
          </w:p>
        </w:tc>
        <w:tc>
          <w:tcPr>
            <w:tcW w:w="9922" w:type="dxa"/>
            <w:shd w:val="clear" w:color="auto" w:fill="BFBFBF" w:themeFill="background1" w:themeFillShade="BF"/>
          </w:tcPr>
          <w:p w:rsidR="00DC5F7F" w:rsidRPr="00A305F1" w:rsidRDefault="00DC5F7F" w:rsidP="00906EC7">
            <w:pPr>
              <w:jc w:val="center"/>
              <w:rPr>
                <w:rFonts w:asciiTheme="minorHAnsi" w:hAnsiTheme="minorHAnsi" w:cs="Arial"/>
                <w:b/>
                <w:sz w:val="22"/>
                <w:szCs w:val="22"/>
                <w:u w:val="single"/>
              </w:rPr>
            </w:pPr>
            <w:r>
              <w:rPr>
                <w:rFonts w:asciiTheme="minorHAnsi" w:hAnsiTheme="minorHAnsi" w:cs="Arial"/>
                <w:b/>
                <w:sz w:val="22"/>
                <w:szCs w:val="22"/>
                <w:u w:val="single"/>
              </w:rPr>
              <w:t xml:space="preserve">Key concerns </w:t>
            </w:r>
            <w:r w:rsidRPr="00A305F1">
              <w:rPr>
                <w:rFonts w:asciiTheme="minorHAnsi" w:hAnsiTheme="minorHAnsi" w:cs="Arial"/>
                <w:b/>
                <w:sz w:val="22"/>
                <w:szCs w:val="22"/>
                <w:u w:val="single"/>
              </w:rPr>
              <w:t xml:space="preserve"> to Raise in Dialogue</w:t>
            </w:r>
          </w:p>
        </w:tc>
      </w:tr>
      <w:tr w:rsidR="00DC5F7F" w:rsidRPr="00C2315F" w:rsidTr="00DC5F7F">
        <w:tc>
          <w:tcPr>
            <w:tcW w:w="3794" w:type="dxa"/>
            <w:tcBorders>
              <w:left w:val="single" w:sz="4" w:space="0" w:color="auto"/>
            </w:tcBorders>
            <w:shd w:val="clear" w:color="auto" w:fill="auto"/>
          </w:tcPr>
          <w:p w:rsidR="00DC5F7F" w:rsidRDefault="00DC5F7F" w:rsidP="00DC5F7F">
            <w:pPr>
              <w:rPr>
                <w:rFonts w:asciiTheme="minorHAnsi" w:hAnsiTheme="minorHAnsi" w:cs="Arial"/>
                <w:b/>
                <w:sz w:val="22"/>
                <w:szCs w:val="22"/>
                <w:lang w:val="en-US"/>
              </w:rPr>
            </w:pPr>
          </w:p>
          <w:p w:rsidR="00DC5F7F" w:rsidRPr="00DC5F7F" w:rsidRDefault="00DC5F7F" w:rsidP="00DC5F7F">
            <w:pPr>
              <w:rPr>
                <w:rFonts w:asciiTheme="minorHAnsi" w:hAnsiTheme="minorHAnsi" w:cs="Arial"/>
                <w:b/>
                <w:sz w:val="22"/>
                <w:szCs w:val="22"/>
                <w:lang w:val="en-US"/>
              </w:rPr>
            </w:pPr>
            <w:r w:rsidRPr="00DC5F7F">
              <w:rPr>
                <w:rFonts w:asciiTheme="minorHAnsi" w:hAnsiTheme="minorHAnsi" w:cs="Arial"/>
                <w:b/>
                <w:sz w:val="22"/>
                <w:szCs w:val="22"/>
                <w:lang w:val="en-US"/>
              </w:rPr>
              <w:t>Continuing sound Macroeconomic Policies and Management</w:t>
            </w:r>
          </w:p>
          <w:p w:rsidR="00DC5F7F" w:rsidRPr="00DC5F7F" w:rsidRDefault="00DC5F7F" w:rsidP="00906EC7">
            <w:pPr>
              <w:rPr>
                <w:rFonts w:asciiTheme="minorHAnsi" w:hAnsiTheme="minorHAnsi" w:cs="Arial"/>
                <w:b/>
                <w:sz w:val="22"/>
                <w:szCs w:val="22"/>
                <w:lang w:val="en-US"/>
              </w:rPr>
            </w:pPr>
          </w:p>
        </w:tc>
        <w:tc>
          <w:tcPr>
            <w:tcW w:w="1134" w:type="dxa"/>
            <w:tcBorders>
              <w:left w:val="single" w:sz="4" w:space="0" w:color="auto"/>
            </w:tcBorders>
            <w:shd w:val="clear" w:color="auto" w:fill="92D050"/>
          </w:tcPr>
          <w:p w:rsidR="00DC5F7F" w:rsidRPr="00C2315F" w:rsidRDefault="00DC5F7F" w:rsidP="00906EC7">
            <w:pPr>
              <w:rPr>
                <w:rFonts w:asciiTheme="minorHAnsi" w:hAnsiTheme="minorHAnsi" w:cs="Arial"/>
                <w:b/>
                <w:sz w:val="22"/>
                <w:szCs w:val="22"/>
              </w:rPr>
            </w:pPr>
          </w:p>
          <w:p w:rsidR="00DC5F7F" w:rsidRPr="00C2315F" w:rsidRDefault="00DC5F7F" w:rsidP="00906EC7">
            <w:pPr>
              <w:rPr>
                <w:rFonts w:asciiTheme="minorHAnsi" w:hAnsiTheme="minorHAnsi" w:cs="Arial"/>
                <w:b/>
                <w:sz w:val="22"/>
                <w:szCs w:val="22"/>
              </w:rPr>
            </w:pPr>
            <w:r w:rsidRPr="00C2315F">
              <w:rPr>
                <w:rFonts w:asciiTheme="minorHAnsi" w:hAnsiTheme="minorHAnsi" w:cs="Arial"/>
                <w:b/>
                <w:sz w:val="22"/>
                <w:szCs w:val="22"/>
              </w:rPr>
              <w:t>Green</w:t>
            </w:r>
          </w:p>
        </w:tc>
        <w:tc>
          <w:tcPr>
            <w:tcW w:w="1134" w:type="dxa"/>
            <w:tcBorders>
              <w:left w:val="single" w:sz="4" w:space="0" w:color="auto"/>
            </w:tcBorders>
            <w:shd w:val="clear" w:color="auto" w:fill="FFC000"/>
          </w:tcPr>
          <w:p w:rsidR="00DC5F7F" w:rsidRDefault="00DC5F7F" w:rsidP="00906EC7">
            <w:pPr>
              <w:jc w:val="center"/>
              <w:rPr>
                <w:rFonts w:asciiTheme="minorHAnsi" w:hAnsiTheme="minorHAnsi" w:cs="Arial"/>
                <w:b/>
                <w:sz w:val="22"/>
                <w:szCs w:val="22"/>
              </w:rPr>
            </w:pPr>
          </w:p>
          <w:p w:rsidR="00DC5F7F" w:rsidRPr="00C2315F" w:rsidRDefault="00DC5F7F" w:rsidP="00906EC7">
            <w:pPr>
              <w:jc w:val="center"/>
              <w:rPr>
                <w:rFonts w:asciiTheme="minorHAnsi" w:hAnsiTheme="minorHAnsi" w:cs="Arial"/>
                <w:b/>
                <w:sz w:val="22"/>
                <w:szCs w:val="22"/>
              </w:rPr>
            </w:pPr>
            <w:r>
              <w:rPr>
                <w:rFonts w:asciiTheme="minorHAnsi" w:hAnsiTheme="minorHAnsi" w:cs="Arial"/>
                <w:b/>
                <w:sz w:val="22"/>
                <w:szCs w:val="22"/>
              </w:rPr>
              <w:t>Orange</w:t>
            </w:r>
          </w:p>
        </w:tc>
        <w:tc>
          <w:tcPr>
            <w:tcW w:w="9922" w:type="dxa"/>
          </w:tcPr>
          <w:p w:rsidR="00DC5F7F" w:rsidRPr="00F677BF" w:rsidRDefault="00DC5F7F" w:rsidP="00F677BF">
            <w:pPr>
              <w:pStyle w:val="ListParagraph"/>
              <w:numPr>
                <w:ilvl w:val="0"/>
                <w:numId w:val="2"/>
              </w:numPr>
              <w:rPr>
                <w:rFonts w:asciiTheme="minorHAnsi" w:hAnsiTheme="minorHAnsi"/>
                <w:sz w:val="22"/>
                <w:szCs w:val="22"/>
              </w:rPr>
            </w:pPr>
            <w:r w:rsidRPr="00440907">
              <w:rPr>
                <w:rFonts w:asciiTheme="minorHAnsi" w:hAnsiTheme="minorHAnsi"/>
                <w:b/>
                <w:sz w:val="22"/>
                <w:szCs w:val="22"/>
              </w:rPr>
              <w:t xml:space="preserve">GoT commitments and/or guarantees regarding </w:t>
            </w:r>
            <w:proofErr w:type="spellStart"/>
            <w:r w:rsidRPr="00440907">
              <w:rPr>
                <w:rFonts w:asciiTheme="minorHAnsi" w:hAnsiTheme="minorHAnsi"/>
                <w:b/>
                <w:sz w:val="22"/>
                <w:szCs w:val="22"/>
              </w:rPr>
              <w:t>parastatals</w:t>
            </w:r>
            <w:proofErr w:type="spellEnd"/>
            <w:r w:rsidRPr="00F677BF">
              <w:rPr>
                <w:rFonts w:asciiTheme="minorHAnsi" w:hAnsiTheme="minorHAnsi"/>
                <w:sz w:val="22"/>
                <w:szCs w:val="22"/>
              </w:rPr>
              <w:t xml:space="preserve"> need to be discussed and addressed since these contingent liabilities have the potential to significantly impact GoT fiscal space. The PER study approved for 2014 on contingent liabilities and pensions can form an input for such discussions. </w:t>
            </w:r>
          </w:p>
          <w:p w:rsidR="00DC5F7F" w:rsidRPr="00F677BF" w:rsidRDefault="00DC5F7F" w:rsidP="00F677BF">
            <w:pPr>
              <w:rPr>
                <w:rFonts w:asciiTheme="minorHAnsi" w:hAnsiTheme="minorHAnsi"/>
              </w:rPr>
            </w:pPr>
          </w:p>
          <w:p w:rsidR="00DC5F7F" w:rsidRPr="00F677BF" w:rsidRDefault="00DC5F7F" w:rsidP="00F677BF">
            <w:pPr>
              <w:pStyle w:val="ListParagraph"/>
              <w:numPr>
                <w:ilvl w:val="0"/>
                <w:numId w:val="2"/>
              </w:numPr>
              <w:rPr>
                <w:rFonts w:asciiTheme="minorHAnsi" w:hAnsiTheme="minorHAnsi"/>
                <w:bCs/>
                <w:sz w:val="22"/>
                <w:szCs w:val="22"/>
                <w:lang w:eastAsia="en-GB"/>
              </w:rPr>
            </w:pPr>
            <w:r w:rsidRPr="00440907">
              <w:rPr>
                <w:rFonts w:asciiTheme="minorHAnsi" w:hAnsiTheme="minorHAnsi"/>
                <w:b/>
                <w:sz w:val="22"/>
                <w:szCs w:val="22"/>
              </w:rPr>
              <w:t>The new VAT</w:t>
            </w:r>
            <w:r w:rsidR="00440907">
              <w:rPr>
                <w:rFonts w:asciiTheme="minorHAnsi" w:hAnsiTheme="minorHAnsi"/>
                <w:b/>
                <w:sz w:val="22"/>
                <w:szCs w:val="22"/>
              </w:rPr>
              <w:t xml:space="preserve"> A</w:t>
            </w:r>
            <w:r w:rsidRPr="00440907">
              <w:rPr>
                <w:rFonts w:asciiTheme="minorHAnsi" w:hAnsiTheme="minorHAnsi"/>
                <w:b/>
                <w:sz w:val="22"/>
                <w:szCs w:val="22"/>
              </w:rPr>
              <w:t>ct</w:t>
            </w:r>
            <w:r w:rsidRPr="00F677BF">
              <w:rPr>
                <w:rFonts w:asciiTheme="minorHAnsi" w:hAnsiTheme="minorHAnsi"/>
                <w:sz w:val="22"/>
                <w:szCs w:val="22"/>
              </w:rPr>
              <w:t xml:space="preserve"> should be prepared and passed in order to improve tax revenue.  This could include removal of a number of exemptions as well as looking at the discretionary powers from legislation.</w:t>
            </w:r>
          </w:p>
          <w:p w:rsidR="00DC5F7F" w:rsidRPr="00F677BF" w:rsidRDefault="00DC5F7F" w:rsidP="00F677BF">
            <w:pPr>
              <w:pStyle w:val="ListParagraph"/>
              <w:rPr>
                <w:rFonts w:asciiTheme="minorHAnsi" w:hAnsiTheme="minorHAnsi"/>
                <w:bCs/>
                <w:sz w:val="22"/>
                <w:szCs w:val="22"/>
                <w:lang w:eastAsia="en-GB"/>
              </w:rPr>
            </w:pPr>
          </w:p>
          <w:p w:rsidR="00DC5F7F" w:rsidRPr="00F677BF" w:rsidRDefault="00DC5F7F" w:rsidP="00F677BF">
            <w:pPr>
              <w:pStyle w:val="ListParagraph"/>
              <w:numPr>
                <w:ilvl w:val="0"/>
                <w:numId w:val="2"/>
              </w:numPr>
              <w:rPr>
                <w:rFonts w:ascii="Times New Roman" w:hAnsi="Times New Roman"/>
                <w:bCs/>
                <w:sz w:val="22"/>
                <w:szCs w:val="22"/>
                <w:lang w:eastAsia="en-GB"/>
              </w:rPr>
            </w:pPr>
            <w:r w:rsidRPr="00440907">
              <w:rPr>
                <w:rFonts w:asciiTheme="minorHAnsi" w:hAnsiTheme="minorHAnsi"/>
                <w:b/>
                <w:bCs/>
                <w:sz w:val="22"/>
                <w:szCs w:val="22"/>
                <w:lang w:eastAsia="en-GB"/>
              </w:rPr>
              <w:t>The adjustment to last year’s domestic borrowing as well as this year’s potential revenue shortfall</w:t>
            </w:r>
            <w:r w:rsidRPr="00F677BF">
              <w:rPr>
                <w:rFonts w:asciiTheme="minorHAnsi" w:hAnsiTheme="minorHAnsi"/>
                <w:bCs/>
                <w:sz w:val="22"/>
                <w:szCs w:val="22"/>
                <w:lang w:eastAsia="en-GB"/>
              </w:rPr>
              <w:t xml:space="preserve"> should be managed in a planned and transparent way in line with fiscal targets.</w:t>
            </w:r>
            <w:r>
              <w:rPr>
                <w:rFonts w:asciiTheme="minorHAnsi" w:hAnsiTheme="minorHAnsi"/>
                <w:bCs/>
                <w:sz w:val="22"/>
                <w:szCs w:val="22"/>
                <w:lang w:eastAsia="en-GB"/>
              </w:rPr>
              <w:t xml:space="preserve"> Technical agreement reached with recent IMF</w:t>
            </w:r>
            <w:r w:rsidRPr="00F677BF">
              <w:rPr>
                <w:rFonts w:asciiTheme="minorHAnsi" w:hAnsiTheme="minorHAnsi"/>
                <w:bCs/>
                <w:sz w:val="22"/>
                <w:szCs w:val="22"/>
                <w:lang w:eastAsia="en-GB"/>
              </w:rPr>
              <w:t xml:space="preserve"> </w:t>
            </w:r>
            <w:r>
              <w:rPr>
                <w:rFonts w:asciiTheme="minorHAnsi" w:hAnsiTheme="minorHAnsi"/>
                <w:bCs/>
                <w:sz w:val="22"/>
                <w:szCs w:val="22"/>
                <w:lang w:eastAsia="en-GB"/>
              </w:rPr>
              <w:t>mission is welcome, but it is, important that Government now follows through with planned expenditure adjustment and</w:t>
            </w:r>
            <w:r w:rsidRPr="00F677BF">
              <w:rPr>
                <w:rFonts w:asciiTheme="minorHAnsi" w:hAnsiTheme="minorHAnsi"/>
                <w:bCs/>
                <w:sz w:val="22"/>
                <w:szCs w:val="22"/>
                <w:lang w:eastAsia="en-GB"/>
              </w:rPr>
              <w:t xml:space="preserve"> is important that the government keeps to the medium term plan for deficit reduction as the deficit impacts government debt, private sector growth and overall macro stability. </w:t>
            </w:r>
            <w:r>
              <w:rPr>
                <w:rFonts w:asciiTheme="minorHAnsi" w:hAnsiTheme="minorHAnsi"/>
                <w:bCs/>
                <w:sz w:val="22"/>
                <w:szCs w:val="22"/>
                <w:lang w:eastAsia="en-GB"/>
              </w:rPr>
              <w:t xml:space="preserve">The accumulation of new arrears should be avoided. </w:t>
            </w:r>
            <w:r w:rsidRPr="00F677BF">
              <w:rPr>
                <w:rFonts w:asciiTheme="minorHAnsi" w:hAnsiTheme="minorHAnsi"/>
                <w:bCs/>
                <w:sz w:val="22"/>
                <w:szCs w:val="22"/>
                <w:lang w:eastAsia="en-GB"/>
              </w:rPr>
              <w:t xml:space="preserve">The potential for capacity improvements in the management of these types of issues should be discussed. </w:t>
            </w:r>
            <w:r w:rsidRPr="00F677BF">
              <w:rPr>
                <w:rFonts w:asciiTheme="minorHAnsi" w:hAnsiTheme="minorHAnsi"/>
                <w:sz w:val="22"/>
                <w:szCs w:val="22"/>
              </w:rPr>
              <w:t>It is recommended that the GoT follows its stated goal of renewing the PSI arrangement with IMF</w:t>
            </w:r>
          </w:p>
        </w:tc>
      </w:tr>
      <w:tr w:rsidR="00DC5F7F" w:rsidRPr="00A305F1" w:rsidTr="00DC5F7F">
        <w:trPr>
          <w:trHeight w:val="202"/>
        </w:trPr>
        <w:tc>
          <w:tcPr>
            <w:tcW w:w="15984" w:type="dxa"/>
            <w:gridSpan w:val="4"/>
          </w:tcPr>
          <w:p w:rsidR="00DC5F7F" w:rsidRDefault="00DC5F7F" w:rsidP="005551D4">
            <w:pPr>
              <w:jc w:val="both"/>
              <w:outlineLvl w:val="1"/>
              <w:rPr>
                <w:rFonts w:asciiTheme="minorHAnsi" w:hAnsiTheme="minorHAnsi" w:cs="Arial"/>
                <w:b/>
                <w:kern w:val="28"/>
                <w:sz w:val="22"/>
                <w:szCs w:val="22"/>
              </w:rPr>
            </w:pPr>
            <w:r>
              <w:rPr>
                <w:rFonts w:asciiTheme="minorHAnsi" w:hAnsiTheme="minorHAnsi" w:cs="Arial"/>
                <w:b/>
                <w:kern w:val="28"/>
                <w:sz w:val="22"/>
                <w:szCs w:val="22"/>
              </w:rPr>
              <w:t>Conclusions</w:t>
            </w:r>
            <w:r w:rsidRPr="00A305F1">
              <w:rPr>
                <w:rFonts w:asciiTheme="minorHAnsi" w:hAnsiTheme="minorHAnsi" w:cs="Arial"/>
                <w:b/>
                <w:kern w:val="28"/>
                <w:sz w:val="22"/>
                <w:szCs w:val="22"/>
              </w:rPr>
              <w:t xml:space="preserve">: </w:t>
            </w:r>
          </w:p>
          <w:p w:rsidR="00DC5F7F" w:rsidRPr="00F677BF" w:rsidRDefault="005551D4" w:rsidP="005551D4">
            <w:pPr>
              <w:spacing w:after="200" w:line="276" w:lineRule="auto"/>
              <w:jc w:val="both"/>
              <w:outlineLvl w:val="1"/>
              <w:rPr>
                <w:rFonts w:asciiTheme="minorHAnsi" w:eastAsiaTheme="minorHAnsi" w:hAnsiTheme="minorHAnsi"/>
                <w:kern w:val="28"/>
                <w:sz w:val="22"/>
                <w:szCs w:val="22"/>
                <w:lang w:val="en-US"/>
              </w:rPr>
            </w:pPr>
            <w:r>
              <w:rPr>
                <w:rFonts w:asciiTheme="minorHAnsi" w:eastAsiaTheme="minorHAnsi" w:hAnsiTheme="minorHAnsi"/>
                <w:kern w:val="28"/>
                <w:sz w:val="22"/>
                <w:szCs w:val="22"/>
                <w:lang w:val="en-US"/>
              </w:rPr>
              <w:br/>
            </w:r>
            <w:r w:rsidR="00DC5F7F" w:rsidRPr="00F677BF">
              <w:rPr>
                <w:rFonts w:asciiTheme="minorHAnsi" w:eastAsiaTheme="minorHAnsi" w:hAnsiTheme="minorHAnsi"/>
                <w:kern w:val="28"/>
                <w:sz w:val="22"/>
                <w:szCs w:val="22"/>
                <w:lang w:val="en-US"/>
              </w:rPr>
              <w:t xml:space="preserve">Economic growth is expected to remain strong at approximately 7% but the uneven distribution of the economic benefits, mainly due to the lower growth in the populous agricultural sector, remain an issue for concern. </w:t>
            </w:r>
          </w:p>
          <w:p w:rsidR="00DC5F7F" w:rsidRPr="00F677BF" w:rsidRDefault="00DC5F7F" w:rsidP="005551D4">
            <w:pPr>
              <w:spacing w:after="200" w:line="276" w:lineRule="auto"/>
              <w:jc w:val="both"/>
              <w:outlineLvl w:val="1"/>
              <w:rPr>
                <w:rFonts w:asciiTheme="minorHAnsi" w:eastAsiaTheme="minorHAnsi" w:hAnsiTheme="minorHAnsi"/>
                <w:kern w:val="28"/>
                <w:sz w:val="22"/>
                <w:szCs w:val="22"/>
                <w:lang w:val="en-US"/>
              </w:rPr>
            </w:pPr>
            <w:r w:rsidRPr="00F677BF">
              <w:rPr>
                <w:rFonts w:asciiTheme="minorHAnsi" w:eastAsiaTheme="minorHAnsi" w:hAnsiTheme="minorHAnsi"/>
                <w:kern w:val="28"/>
                <w:sz w:val="22"/>
                <w:szCs w:val="22"/>
                <w:lang w:val="en-US"/>
              </w:rPr>
              <w:t xml:space="preserve">Regarding macroeconomic policies and management, the Government of Tanzania has for the most part been able to manage main imbalances through a prudent monetary and fiscal policy. However for the fiscal year 2012/13 the high budget deficit of </w:t>
            </w:r>
            <w:r>
              <w:rPr>
                <w:rFonts w:asciiTheme="minorHAnsi" w:eastAsiaTheme="minorHAnsi" w:hAnsiTheme="minorHAnsi"/>
                <w:kern w:val="28"/>
                <w:sz w:val="22"/>
                <w:szCs w:val="22"/>
                <w:lang w:val="en-US"/>
              </w:rPr>
              <w:t>5</w:t>
            </w:r>
            <w:proofErr w:type="gramStart"/>
            <w:r>
              <w:rPr>
                <w:rFonts w:asciiTheme="minorHAnsi" w:eastAsiaTheme="minorHAnsi" w:hAnsiTheme="minorHAnsi"/>
                <w:kern w:val="28"/>
                <w:sz w:val="22"/>
                <w:szCs w:val="22"/>
                <w:lang w:val="en-US"/>
              </w:rPr>
              <w:t>,8</w:t>
            </w:r>
            <w:proofErr w:type="gramEnd"/>
            <w:r w:rsidRPr="00F677BF">
              <w:rPr>
                <w:rFonts w:asciiTheme="minorHAnsi" w:eastAsiaTheme="minorHAnsi" w:hAnsiTheme="minorHAnsi"/>
                <w:kern w:val="28"/>
                <w:sz w:val="22"/>
                <w:szCs w:val="22"/>
                <w:lang w:val="en-US"/>
              </w:rPr>
              <w:t>% of GDP, 0.</w:t>
            </w:r>
            <w:r>
              <w:rPr>
                <w:rFonts w:asciiTheme="minorHAnsi" w:eastAsiaTheme="minorHAnsi" w:hAnsiTheme="minorHAnsi"/>
                <w:kern w:val="28"/>
                <w:sz w:val="22"/>
                <w:szCs w:val="22"/>
                <w:lang w:val="en-US"/>
              </w:rPr>
              <w:t>3</w:t>
            </w:r>
            <w:r w:rsidRPr="00F677BF">
              <w:rPr>
                <w:rFonts w:asciiTheme="minorHAnsi" w:eastAsiaTheme="minorHAnsi" w:hAnsiTheme="minorHAnsi"/>
                <w:kern w:val="28"/>
                <w:sz w:val="22"/>
                <w:szCs w:val="22"/>
                <w:lang w:val="en-US"/>
              </w:rPr>
              <w:t>% higher than planned, resulted in net domestic financing at a level higher than agreed with IMF. The main reason was very ambitious revenue targets combined with higher than forecasted levels of expenditure. There has also been an increase in non-concessional borrowing resulting in rapidly incre</w:t>
            </w:r>
            <w:r>
              <w:rPr>
                <w:rFonts w:asciiTheme="minorHAnsi" w:eastAsiaTheme="minorHAnsi" w:hAnsiTheme="minorHAnsi"/>
                <w:kern w:val="28"/>
                <w:sz w:val="22"/>
                <w:szCs w:val="22"/>
                <w:lang w:val="en-US"/>
              </w:rPr>
              <w:t>a</w:t>
            </w:r>
            <w:r w:rsidRPr="00F677BF">
              <w:rPr>
                <w:rFonts w:asciiTheme="minorHAnsi" w:eastAsiaTheme="minorHAnsi" w:hAnsiTheme="minorHAnsi"/>
                <w:kern w:val="28"/>
                <w:sz w:val="22"/>
                <w:szCs w:val="22"/>
                <w:lang w:val="en-US"/>
              </w:rPr>
              <w:t>sing debt service. For the first part of this fiscal year, revenue has fallen short of initial projections, requiring an adjustment of the budget. The GoT handling of inflation is seen as adequate and inflation is down to single digits at 6.</w:t>
            </w:r>
            <w:r>
              <w:rPr>
                <w:rFonts w:asciiTheme="minorHAnsi" w:eastAsiaTheme="minorHAnsi" w:hAnsiTheme="minorHAnsi"/>
                <w:kern w:val="28"/>
                <w:sz w:val="22"/>
                <w:szCs w:val="22"/>
                <w:lang w:val="en-US"/>
              </w:rPr>
              <w:t>0</w:t>
            </w:r>
            <w:r w:rsidRPr="00F677BF">
              <w:rPr>
                <w:rFonts w:asciiTheme="minorHAnsi" w:eastAsiaTheme="minorHAnsi" w:hAnsiTheme="minorHAnsi"/>
                <w:kern w:val="28"/>
                <w:sz w:val="22"/>
                <w:szCs w:val="22"/>
                <w:lang w:val="en-US"/>
              </w:rPr>
              <w:t xml:space="preserve">% in </w:t>
            </w:r>
            <w:r>
              <w:rPr>
                <w:rFonts w:asciiTheme="minorHAnsi" w:eastAsiaTheme="minorHAnsi" w:hAnsiTheme="minorHAnsi"/>
                <w:kern w:val="28"/>
                <w:sz w:val="22"/>
                <w:szCs w:val="22"/>
                <w:lang w:val="en-US"/>
              </w:rPr>
              <w:t>January</w:t>
            </w:r>
            <w:r w:rsidRPr="00F677BF">
              <w:rPr>
                <w:rFonts w:asciiTheme="minorHAnsi" w:eastAsiaTheme="minorHAnsi" w:hAnsiTheme="minorHAnsi"/>
                <w:kern w:val="28"/>
                <w:sz w:val="22"/>
                <w:szCs w:val="22"/>
                <w:lang w:val="en-US"/>
              </w:rPr>
              <w:t xml:space="preserve"> 201</w:t>
            </w:r>
            <w:r>
              <w:rPr>
                <w:rFonts w:asciiTheme="minorHAnsi" w:eastAsiaTheme="minorHAnsi" w:hAnsiTheme="minorHAnsi"/>
                <w:kern w:val="28"/>
                <w:sz w:val="22"/>
                <w:szCs w:val="22"/>
                <w:lang w:val="en-US"/>
              </w:rPr>
              <w:t>4</w:t>
            </w:r>
            <w:r w:rsidRPr="00F677BF">
              <w:rPr>
                <w:rFonts w:asciiTheme="minorHAnsi" w:eastAsiaTheme="minorHAnsi" w:hAnsiTheme="minorHAnsi"/>
                <w:kern w:val="28"/>
                <w:sz w:val="22"/>
                <w:szCs w:val="22"/>
                <w:lang w:val="en-US"/>
              </w:rPr>
              <w:t xml:space="preserve">. </w:t>
            </w:r>
            <w:r>
              <w:rPr>
                <w:rFonts w:asciiTheme="minorHAnsi" w:eastAsiaTheme="minorHAnsi" w:hAnsiTheme="minorHAnsi"/>
                <w:kern w:val="28"/>
                <w:sz w:val="22"/>
                <w:szCs w:val="22"/>
                <w:lang w:val="en-US"/>
              </w:rPr>
              <w:t>If Cabinet approves agreed expenditure reductions and draft VAT Act for submission to Parliament, the IMF will be abl</w:t>
            </w:r>
            <w:r w:rsidR="00CB254F">
              <w:rPr>
                <w:rFonts w:asciiTheme="minorHAnsi" w:eastAsiaTheme="minorHAnsi" w:hAnsiTheme="minorHAnsi"/>
                <w:kern w:val="28"/>
                <w:sz w:val="22"/>
                <w:szCs w:val="22"/>
                <w:lang w:val="en-US"/>
              </w:rPr>
              <w:t>e to conclude their SCF Review.</w:t>
            </w:r>
          </w:p>
          <w:p w:rsidR="00DC5F7F" w:rsidRPr="00F677BF" w:rsidRDefault="00DC5F7F" w:rsidP="005551D4">
            <w:pPr>
              <w:spacing w:after="200" w:line="276" w:lineRule="auto"/>
              <w:jc w:val="both"/>
              <w:outlineLvl w:val="1"/>
              <w:rPr>
                <w:rFonts w:asciiTheme="minorHAnsi" w:eastAsiaTheme="minorHAnsi" w:hAnsiTheme="minorHAnsi"/>
                <w:kern w:val="28"/>
                <w:sz w:val="22"/>
                <w:szCs w:val="22"/>
                <w:lang w:val="en-US"/>
              </w:rPr>
            </w:pPr>
            <w:r w:rsidRPr="00F677BF">
              <w:rPr>
                <w:rFonts w:asciiTheme="minorHAnsi" w:eastAsiaTheme="minorHAnsi" w:hAnsiTheme="minorHAnsi"/>
                <w:kern w:val="28"/>
                <w:sz w:val="22"/>
                <w:szCs w:val="22"/>
                <w:lang w:val="en-US"/>
              </w:rPr>
              <w:t xml:space="preserve">The Current Account deficit, to a large part driven by expensive oil imports, is expected to decline in the medium term as cheaper gas from the Mtwara region becomes available. It is expected that the energy tariff increase in combination with the significant DP support that has been agreed will provide sufficient to allow the GoT to meet the financial difficulties of TANESCO within the agreed fiscal framework.   </w:t>
            </w:r>
          </w:p>
          <w:p w:rsidR="00DC5F7F" w:rsidRPr="005551D4" w:rsidRDefault="00DC5F7F" w:rsidP="005551D4">
            <w:pPr>
              <w:spacing w:line="276" w:lineRule="auto"/>
              <w:jc w:val="both"/>
              <w:outlineLvl w:val="1"/>
              <w:rPr>
                <w:rFonts w:asciiTheme="minorHAnsi" w:eastAsiaTheme="minorHAnsi" w:hAnsiTheme="minorHAnsi"/>
                <w:kern w:val="28"/>
                <w:sz w:val="22"/>
                <w:szCs w:val="22"/>
                <w:lang w:val="en-US"/>
              </w:rPr>
            </w:pPr>
            <w:r w:rsidRPr="00F677BF">
              <w:rPr>
                <w:rFonts w:asciiTheme="minorHAnsi" w:eastAsiaTheme="minorHAnsi" w:hAnsiTheme="minorHAnsi"/>
                <w:kern w:val="28"/>
                <w:sz w:val="22"/>
                <w:szCs w:val="22"/>
                <w:lang w:val="en-US"/>
              </w:rPr>
              <w:t>Other issues potentially of concern are fl</w:t>
            </w:r>
            <w:r>
              <w:rPr>
                <w:rFonts w:asciiTheme="minorHAnsi" w:eastAsiaTheme="minorHAnsi" w:hAnsiTheme="minorHAnsi"/>
                <w:kern w:val="28"/>
                <w:sz w:val="22"/>
                <w:szCs w:val="22"/>
                <w:lang w:val="en-US"/>
              </w:rPr>
              <w:t>uctuations in commodity prices,</w:t>
            </w:r>
            <w:r w:rsidRPr="00F677BF">
              <w:rPr>
                <w:rFonts w:asciiTheme="minorHAnsi" w:eastAsiaTheme="minorHAnsi" w:hAnsiTheme="minorHAnsi"/>
                <w:kern w:val="28"/>
                <w:sz w:val="22"/>
                <w:szCs w:val="22"/>
                <w:lang w:val="en-US"/>
              </w:rPr>
              <w:t xml:space="preserve"> shortfalls in revenue collection, the substantial tax exemptions as well as contingent liabilities and arrears related to </w:t>
            </w:r>
            <w:proofErr w:type="spellStart"/>
            <w:r w:rsidRPr="00F677BF">
              <w:rPr>
                <w:rFonts w:asciiTheme="minorHAnsi" w:eastAsiaTheme="minorHAnsi" w:hAnsiTheme="minorHAnsi"/>
                <w:kern w:val="28"/>
                <w:sz w:val="22"/>
                <w:szCs w:val="22"/>
                <w:lang w:val="en-US"/>
              </w:rPr>
              <w:t>parastatals</w:t>
            </w:r>
            <w:proofErr w:type="spellEnd"/>
            <w:r w:rsidRPr="00F677BF">
              <w:rPr>
                <w:rFonts w:asciiTheme="minorHAnsi" w:eastAsiaTheme="minorHAnsi" w:hAnsiTheme="minorHAnsi"/>
                <w:kern w:val="28"/>
                <w:sz w:val="22"/>
                <w:szCs w:val="22"/>
                <w:lang w:val="en-US"/>
              </w:rPr>
              <w:t xml:space="preserve"> and </w:t>
            </w:r>
            <w:r w:rsidRPr="00443B52">
              <w:rPr>
                <w:rFonts w:asciiTheme="minorHAnsi" w:eastAsiaTheme="minorHAnsi" w:hAnsiTheme="minorHAnsi"/>
                <w:kern w:val="28"/>
                <w:sz w:val="22"/>
                <w:szCs w:val="22"/>
                <w:lang w:val="en-US"/>
              </w:rPr>
              <w:t>PPPs. The 2014 PER studies will look at arrears, contingent liabilities, pensions, PPPs and non-tax revenues.</w:t>
            </w:r>
          </w:p>
        </w:tc>
      </w:tr>
    </w:tbl>
    <w:p w:rsidR="00F677BF" w:rsidRDefault="00F677BF" w:rsidP="00F677BF"/>
    <w:p w:rsidR="00AC7C1A" w:rsidRPr="009E1CC7" w:rsidRDefault="00AC7C1A" w:rsidP="00AC7C1A">
      <w:pPr>
        <w:rPr>
          <w:rFonts w:asciiTheme="minorHAnsi" w:hAnsiTheme="minorHAnsi"/>
          <w:b/>
          <w:sz w:val="32"/>
          <w:szCs w:val="32"/>
          <w:u w:val="single"/>
        </w:rPr>
      </w:pPr>
      <w:r w:rsidRPr="009E1CC7">
        <w:rPr>
          <w:rFonts w:asciiTheme="minorHAnsi" w:hAnsiTheme="minorHAnsi"/>
          <w:b/>
          <w:noProof/>
          <w:sz w:val="32"/>
          <w:szCs w:val="32"/>
          <w:u w:val="single"/>
          <w:lang w:eastAsia="en-GB"/>
        </w:rPr>
        <w:lastRenderedPageBreak/>
        <w:t>Underlying Principle 2</w:t>
      </w:r>
    </w:p>
    <w:p w:rsidR="00AC7C1A" w:rsidRPr="00C2315F" w:rsidRDefault="00AC7C1A" w:rsidP="00AC7C1A">
      <w:pPr>
        <w:jc w:val="center"/>
        <w:rPr>
          <w:rFonts w:asciiTheme="minorHAnsi" w:hAnsiTheme="minorHAnsi"/>
          <w:b/>
          <w:sz w:val="22"/>
          <w:szCs w:val="22"/>
          <w:u w:val="single"/>
        </w:rPr>
      </w:pPr>
    </w:p>
    <w:tbl>
      <w:tblPr>
        <w:tblStyle w:val="TableGrid"/>
        <w:tblW w:w="0" w:type="auto"/>
        <w:shd w:val="clear" w:color="auto" w:fill="FFFFFF" w:themeFill="background1"/>
        <w:tblLook w:val="04A0" w:firstRow="1" w:lastRow="0" w:firstColumn="1" w:lastColumn="0" w:noHBand="0" w:noVBand="1"/>
      </w:tblPr>
      <w:tblGrid>
        <w:gridCol w:w="3794"/>
        <w:gridCol w:w="1843"/>
        <w:gridCol w:w="10283"/>
      </w:tblGrid>
      <w:tr w:rsidR="00AC7C1A" w:rsidRPr="00C2315F" w:rsidTr="00AC7C1A">
        <w:tc>
          <w:tcPr>
            <w:tcW w:w="3794" w:type="dxa"/>
            <w:shd w:val="clear" w:color="auto" w:fill="FFFFFF" w:themeFill="background1"/>
          </w:tcPr>
          <w:p w:rsidR="00AC7C1A" w:rsidRPr="00C2315F" w:rsidRDefault="00AC7C1A" w:rsidP="00857C0A">
            <w:pPr>
              <w:jc w:val="center"/>
              <w:rPr>
                <w:rFonts w:asciiTheme="minorHAnsi" w:hAnsiTheme="minorHAnsi"/>
                <w:b/>
                <w:sz w:val="22"/>
                <w:szCs w:val="22"/>
                <w:u w:val="single"/>
              </w:rPr>
            </w:pPr>
            <w:r w:rsidRPr="00C2315F">
              <w:rPr>
                <w:rFonts w:asciiTheme="minorHAnsi" w:hAnsiTheme="minorHAnsi"/>
                <w:b/>
                <w:sz w:val="22"/>
                <w:szCs w:val="22"/>
                <w:u w:val="single"/>
              </w:rPr>
              <w:t>UP</w:t>
            </w:r>
          </w:p>
        </w:tc>
        <w:tc>
          <w:tcPr>
            <w:tcW w:w="1843" w:type="dxa"/>
            <w:shd w:val="clear" w:color="auto" w:fill="FFFFFF" w:themeFill="background1"/>
          </w:tcPr>
          <w:p w:rsidR="00AC7C1A" w:rsidRPr="00C2315F" w:rsidRDefault="00AC7C1A" w:rsidP="00857C0A">
            <w:pPr>
              <w:jc w:val="center"/>
              <w:rPr>
                <w:rFonts w:asciiTheme="minorHAnsi" w:hAnsiTheme="minorHAnsi"/>
                <w:b/>
                <w:sz w:val="22"/>
                <w:szCs w:val="22"/>
                <w:u w:val="single"/>
              </w:rPr>
            </w:pPr>
            <w:r w:rsidRPr="00C2315F">
              <w:rPr>
                <w:rFonts w:asciiTheme="minorHAnsi" w:hAnsiTheme="minorHAnsi"/>
                <w:b/>
                <w:sz w:val="22"/>
                <w:szCs w:val="22"/>
                <w:u w:val="single"/>
              </w:rPr>
              <w:t>Summary Assessment</w:t>
            </w:r>
          </w:p>
        </w:tc>
        <w:tc>
          <w:tcPr>
            <w:tcW w:w="10283" w:type="dxa"/>
            <w:shd w:val="clear" w:color="auto" w:fill="FFFFFF" w:themeFill="background1"/>
          </w:tcPr>
          <w:p w:rsidR="00AC7C1A" w:rsidRPr="00C2315F" w:rsidRDefault="00AC7C1A" w:rsidP="00857C0A">
            <w:pPr>
              <w:jc w:val="center"/>
              <w:rPr>
                <w:rFonts w:asciiTheme="minorHAnsi" w:hAnsiTheme="minorHAnsi"/>
                <w:b/>
                <w:sz w:val="22"/>
                <w:szCs w:val="22"/>
                <w:u w:val="single"/>
              </w:rPr>
            </w:pPr>
            <w:r w:rsidRPr="00C2315F">
              <w:rPr>
                <w:rFonts w:asciiTheme="minorHAnsi" w:hAnsiTheme="minorHAnsi"/>
                <w:b/>
                <w:sz w:val="22"/>
                <w:szCs w:val="22"/>
                <w:u w:val="single"/>
              </w:rPr>
              <w:t>Points to Raise in Dialogue</w:t>
            </w:r>
          </w:p>
        </w:tc>
      </w:tr>
      <w:tr w:rsidR="00AC7C1A" w:rsidRPr="00C2315F" w:rsidTr="00AC7C1A">
        <w:tc>
          <w:tcPr>
            <w:tcW w:w="3794" w:type="dxa"/>
            <w:shd w:val="clear" w:color="auto" w:fill="FFFFFF" w:themeFill="background1"/>
          </w:tcPr>
          <w:p w:rsidR="00AC7C1A" w:rsidRDefault="00AC7C1A" w:rsidP="00857C0A">
            <w:pPr>
              <w:rPr>
                <w:rFonts w:asciiTheme="minorHAnsi" w:hAnsiTheme="minorHAnsi"/>
                <w:b/>
                <w:sz w:val="22"/>
                <w:szCs w:val="22"/>
                <w:lang w:val="en-US"/>
              </w:rPr>
            </w:pPr>
          </w:p>
          <w:p w:rsidR="00AC7C1A" w:rsidRPr="00C2315F" w:rsidRDefault="00AC7C1A" w:rsidP="00857C0A">
            <w:pPr>
              <w:rPr>
                <w:rFonts w:asciiTheme="minorHAnsi" w:hAnsiTheme="minorHAnsi"/>
                <w:b/>
                <w:i/>
                <w:sz w:val="22"/>
                <w:szCs w:val="22"/>
              </w:rPr>
            </w:pPr>
            <w:r w:rsidRPr="00C2315F">
              <w:rPr>
                <w:rFonts w:asciiTheme="minorHAnsi" w:hAnsiTheme="minorHAnsi"/>
                <w:b/>
                <w:sz w:val="22"/>
                <w:szCs w:val="22"/>
                <w:lang w:val="en-US"/>
              </w:rPr>
              <w:t>Commitment to Achieving MKUKUTA II Objectives and MDGs</w:t>
            </w:r>
          </w:p>
        </w:tc>
        <w:tc>
          <w:tcPr>
            <w:tcW w:w="1843" w:type="dxa"/>
            <w:shd w:val="clear" w:color="auto" w:fill="FFC000"/>
          </w:tcPr>
          <w:p w:rsidR="00AC7C1A" w:rsidRDefault="00AC7C1A" w:rsidP="00857C0A">
            <w:pPr>
              <w:jc w:val="center"/>
              <w:rPr>
                <w:rFonts w:asciiTheme="minorHAnsi" w:hAnsiTheme="minorHAnsi"/>
                <w:b/>
                <w:sz w:val="22"/>
                <w:szCs w:val="22"/>
              </w:rPr>
            </w:pPr>
          </w:p>
          <w:p w:rsidR="00AC7C1A" w:rsidRPr="00C2315F" w:rsidRDefault="00AC7C1A" w:rsidP="00857C0A">
            <w:pPr>
              <w:jc w:val="center"/>
              <w:rPr>
                <w:rFonts w:asciiTheme="minorHAnsi" w:hAnsiTheme="minorHAnsi"/>
                <w:b/>
                <w:sz w:val="22"/>
                <w:szCs w:val="22"/>
              </w:rPr>
            </w:pPr>
            <w:r w:rsidRPr="00C2315F">
              <w:rPr>
                <w:rFonts w:asciiTheme="minorHAnsi" w:hAnsiTheme="minorHAnsi"/>
                <w:b/>
                <w:sz w:val="22"/>
                <w:szCs w:val="22"/>
              </w:rPr>
              <w:t>Orange</w:t>
            </w:r>
          </w:p>
        </w:tc>
        <w:tc>
          <w:tcPr>
            <w:tcW w:w="10283" w:type="dxa"/>
            <w:shd w:val="clear" w:color="auto" w:fill="FFFFFF" w:themeFill="background1"/>
          </w:tcPr>
          <w:p w:rsidR="00AC7C1A" w:rsidRDefault="00AC7C1A" w:rsidP="00857C0A">
            <w:pPr>
              <w:pStyle w:val="Default"/>
              <w:jc w:val="both"/>
              <w:rPr>
                <w:rFonts w:cs="Times New Roman"/>
                <w:color w:val="auto"/>
              </w:rPr>
            </w:pPr>
          </w:p>
          <w:p w:rsidR="00DA6FE1" w:rsidRPr="00B83B2B" w:rsidRDefault="00DA6FE1" w:rsidP="00DA6FE1">
            <w:pPr>
              <w:pStyle w:val="ListParagraph"/>
              <w:numPr>
                <w:ilvl w:val="0"/>
                <w:numId w:val="1"/>
              </w:numPr>
              <w:jc w:val="both"/>
              <w:rPr>
                <w:rFonts w:asciiTheme="minorHAnsi" w:hAnsiTheme="minorHAnsi"/>
                <w:sz w:val="22"/>
                <w:szCs w:val="22"/>
              </w:rPr>
            </w:pPr>
            <w:r w:rsidRPr="00B83B2B">
              <w:rPr>
                <w:rFonts w:asciiTheme="minorHAnsi" w:hAnsiTheme="minorHAnsi"/>
                <w:b/>
                <w:sz w:val="22"/>
                <w:szCs w:val="22"/>
              </w:rPr>
              <w:t>Pro-Poor Policies:</w:t>
            </w:r>
            <w:r w:rsidRPr="00B83B2B">
              <w:rPr>
                <w:rFonts w:asciiTheme="minorHAnsi" w:hAnsiTheme="minorHAnsi"/>
                <w:sz w:val="22"/>
                <w:szCs w:val="22"/>
              </w:rPr>
              <w:t xml:space="preserve"> With MKUKUTA II coming to an end in 2015 it will be crucial to retain a comprehensive policy framework with clear pro-poor focus. </w:t>
            </w:r>
          </w:p>
          <w:p w:rsidR="00DA6FE1" w:rsidRPr="00B83B2B" w:rsidRDefault="00DA6FE1" w:rsidP="00DA6FE1">
            <w:pPr>
              <w:pStyle w:val="ListParagraph"/>
              <w:numPr>
                <w:ilvl w:val="0"/>
                <w:numId w:val="1"/>
              </w:numPr>
              <w:jc w:val="both"/>
              <w:rPr>
                <w:rFonts w:asciiTheme="minorHAnsi" w:hAnsiTheme="minorHAnsi"/>
                <w:sz w:val="22"/>
                <w:szCs w:val="22"/>
              </w:rPr>
            </w:pPr>
            <w:r w:rsidRPr="00B83B2B">
              <w:rPr>
                <w:rFonts w:asciiTheme="minorHAnsi" w:hAnsiTheme="minorHAnsi"/>
                <w:b/>
                <w:sz w:val="22"/>
                <w:szCs w:val="22"/>
              </w:rPr>
              <w:t>Inclusive Growth:</w:t>
            </w:r>
            <w:r w:rsidRPr="00B83B2B">
              <w:rPr>
                <w:rFonts w:asciiTheme="minorHAnsi" w:hAnsiTheme="minorHAnsi"/>
                <w:sz w:val="22"/>
                <w:szCs w:val="22"/>
              </w:rPr>
              <w:t xml:space="preserve"> Economic growth needs to become more inclusive in the light of persistence of poverty and limited broad-based job creation. </w:t>
            </w:r>
          </w:p>
          <w:p w:rsidR="00DA6FE1" w:rsidRPr="00B83B2B" w:rsidRDefault="00DA6FE1" w:rsidP="00DA6FE1">
            <w:pPr>
              <w:pStyle w:val="ListParagraph"/>
              <w:numPr>
                <w:ilvl w:val="0"/>
                <w:numId w:val="1"/>
              </w:numPr>
              <w:jc w:val="both"/>
              <w:rPr>
                <w:rFonts w:asciiTheme="minorHAnsi" w:hAnsiTheme="minorHAnsi"/>
                <w:sz w:val="22"/>
                <w:szCs w:val="22"/>
              </w:rPr>
            </w:pPr>
            <w:r w:rsidRPr="00B83B2B">
              <w:rPr>
                <w:rFonts w:asciiTheme="minorHAnsi" w:hAnsiTheme="minorHAnsi"/>
                <w:b/>
                <w:sz w:val="22"/>
                <w:szCs w:val="22"/>
              </w:rPr>
              <w:t>MDGs:</w:t>
            </w:r>
            <w:r w:rsidRPr="00B83B2B">
              <w:rPr>
                <w:rFonts w:asciiTheme="minorHAnsi" w:hAnsiTheme="minorHAnsi"/>
                <w:sz w:val="22"/>
                <w:szCs w:val="22"/>
              </w:rPr>
              <w:t xml:space="preserve"> Greater attention is needed for MDGs registering less progress (poverty and hunger, maternal mortality, education, water access and sanitation, environmental sustainability).</w:t>
            </w:r>
          </w:p>
          <w:p w:rsidR="00DA6FE1" w:rsidRPr="00B83B2B" w:rsidRDefault="00DA6FE1" w:rsidP="00DA6FE1">
            <w:pPr>
              <w:pStyle w:val="ListParagraph"/>
              <w:numPr>
                <w:ilvl w:val="0"/>
                <w:numId w:val="1"/>
              </w:numPr>
              <w:jc w:val="both"/>
              <w:rPr>
                <w:rFonts w:asciiTheme="minorHAnsi" w:hAnsiTheme="minorHAnsi"/>
                <w:sz w:val="22"/>
                <w:szCs w:val="22"/>
              </w:rPr>
            </w:pPr>
            <w:r w:rsidRPr="00B83B2B">
              <w:rPr>
                <w:rFonts w:asciiTheme="minorHAnsi" w:hAnsiTheme="minorHAnsi"/>
                <w:b/>
                <w:sz w:val="22"/>
                <w:szCs w:val="22"/>
              </w:rPr>
              <w:t>Equity &amp; quality services:</w:t>
            </w:r>
            <w:r w:rsidRPr="00B83B2B">
              <w:rPr>
                <w:rFonts w:asciiTheme="minorHAnsi" w:hAnsiTheme="minorHAnsi"/>
                <w:sz w:val="22"/>
                <w:szCs w:val="22"/>
              </w:rPr>
              <w:t xml:space="preserve"> Commitment to equity in different sectors needs to be strengthened within and outside BRN, with particular emphasis on reaching the rural, poor and vulnerable. It is important that improved service delivery in health remains a government priority, even if it is not currently part of BRN. Improved efficiency in expenditure, implementa</w:t>
            </w:r>
            <w:r w:rsidRPr="00B83B2B">
              <w:rPr>
                <w:rFonts w:asciiTheme="minorHAnsi" w:hAnsiTheme="minorHAnsi"/>
                <w:sz w:val="22"/>
                <w:szCs w:val="22"/>
              </w:rPr>
              <w:softHyphen/>
              <w:t xml:space="preserve">tion capacity, institutional and regulatory framework </w:t>
            </w:r>
            <w:proofErr w:type="gramStart"/>
            <w:r w:rsidRPr="00B83B2B">
              <w:rPr>
                <w:rFonts w:asciiTheme="minorHAnsi" w:hAnsiTheme="minorHAnsi"/>
                <w:sz w:val="22"/>
                <w:szCs w:val="22"/>
              </w:rPr>
              <w:t>are</w:t>
            </w:r>
            <w:proofErr w:type="gramEnd"/>
            <w:r w:rsidRPr="00B83B2B">
              <w:rPr>
                <w:rFonts w:asciiTheme="minorHAnsi" w:hAnsiTheme="minorHAnsi"/>
                <w:sz w:val="22"/>
                <w:szCs w:val="22"/>
              </w:rPr>
              <w:t xml:space="preserve"> necessary in all sectors.</w:t>
            </w:r>
          </w:p>
          <w:p w:rsidR="00AC7C1A" w:rsidRPr="00745CD0" w:rsidRDefault="00DA6FE1" w:rsidP="00DA6FE1">
            <w:pPr>
              <w:pStyle w:val="ListParagraph"/>
              <w:numPr>
                <w:ilvl w:val="0"/>
                <w:numId w:val="1"/>
              </w:numPr>
              <w:jc w:val="both"/>
              <w:rPr>
                <w:rFonts w:asciiTheme="minorHAnsi" w:hAnsiTheme="minorHAnsi"/>
                <w:sz w:val="22"/>
                <w:szCs w:val="22"/>
              </w:rPr>
            </w:pPr>
            <w:r w:rsidRPr="00B83B2B">
              <w:rPr>
                <w:rFonts w:asciiTheme="minorHAnsi" w:hAnsiTheme="minorHAnsi"/>
                <w:b/>
                <w:sz w:val="22"/>
                <w:szCs w:val="22"/>
              </w:rPr>
              <w:t>Better data:</w:t>
            </w:r>
            <w:r w:rsidRPr="00B83B2B">
              <w:rPr>
                <w:rFonts w:asciiTheme="minorHAnsi" w:hAnsiTheme="minorHAnsi"/>
                <w:sz w:val="22"/>
                <w:szCs w:val="22"/>
              </w:rPr>
              <w:t xml:space="preserve"> There is a need to more thoroughly understand poverty dynamics through better data, analysis and debate, in order to be able to formulate better pro-poor policies and priorities.</w:t>
            </w:r>
          </w:p>
        </w:tc>
      </w:tr>
      <w:tr w:rsidR="00AC7C1A" w:rsidRPr="00C2315F" w:rsidTr="00857C0A">
        <w:tc>
          <w:tcPr>
            <w:tcW w:w="15920" w:type="dxa"/>
            <w:gridSpan w:val="3"/>
            <w:shd w:val="clear" w:color="auto" w:fill="FFFFFF" w:themeFill="background1"/>
          </w:tcPr>
          <w:p w:rsidR="00AC7C1A" w:rsidRPr="00604FD4" w:rsidRDefault="00AC7C1A" w:rsidP="00857C0A">
            <w:pPr>
              <w:rPr>
                <w:rFonts w:asciiTheme="minorHAnsi" w:hAnsiTheme="minorHAnsi"/>
                <w:sz w:val="22"/>
                <w:szCs w:val="22"/>
              </w:rPr>
            </w:pPr>
            <w:r w:rsidRPr="00604FD4">
              <w:rPr>
                <w:rFonts w:asciiTheme="minorHAnsi" w:hAnsiTheme="minorHAnsi"/>
                <w:b/>
                <w:sz w:val="22"/>
                <w:szCs w:val="22"/>
              </w:rPr>
              <w:t>Conclusions</w:t>
            </w:r>
            <w:r w:rsidRPr="00604FD4">
              <w:rPr>
                <w:rFonts w:asciiTheme="minorHAnsi" w:hAnsiTheme="minorHAnsi"/>
                <w:sz w:val="22"/>
                <w:szCs w:val="22"/>
              </w:rPr>
              <w:t xml:space="preserve">: </w:t>
            </w:r>
          </w:p>
          <w:p w:rsidR="00AC7C1A" w:rsidRPr="00C2315F" w:rsidRDefault="00AC7C1A" w:rsidP="00857C0A">
            <w:pPr>
              <w:rPr>
                <w:rFonts w:asciiTheme="minorHAnsi" w:hAnsiTheme="minorHAnsi"/>
                <w:sz w:val="22"/>
                <w:szCs w:val="22"/>
              </w:rPr>
            </w:pPr>
          </w:p>
          <w:p w:rsidR="00AC7C1A" w:rsidRDefault="00AC7C1A" w:rsidP="00857C0A">
            <w:pPr>
              <w:pStyle w:val="Default"/>
              <w:jc w:val="both"/>
              <w:rPr>
                <w:rFonts w:asciiTheme="minorHAnsi" w:hAnsiTheme="minorHAnsi" w:cs="Times New Roman"/>
                <w:color w:val="auto"/>
                <w:sz w:val="22"/>
                <w:szCs w:val="22"/>
                <w:lang w:eastAsia="en-US"/>
              </w:rPr>
            </w:pPr>
            <w:r w:rsidRPr="00FD0229">
              <w:rPr>
                <w:rFonts w:asciiTheme="minorHAnsi" w:hAnsiTheme="minorHAnsi" w:cs="Times New Roman"/>
                <w:color w:val="auto"/>
                <w:sz w:val="22"/>
                <w:szCs w:val="22"/>
                <w:lang w:eastAsia="en-US"/>
              </w:rPr>
              <w:t xml:space="preserve">Despite impressively high GDP growth rates over the past decade, poverty in Tanzania has remained unchanged. It is estimated that about one third of Tanzania’s population lives in poverty without significant changes over the past decade. Population growth continues to be rapid, and the expansion of services struggles to keep up with a huge increase in numbers of children and young people. The country should be in a position by 2015 to achieve the MDG goals </w:t>
            </w:r>
            <w:r>
              <w:rPr>
                <w:rFonts w:asciiTheme="minorHAnsi" w:hAnsiTheme="minorHAnsi" w:cs="Times New Roman"/>
                <w:color w:val="auto"/>
                <w:sz w:val="22"/>
                <w:szCs w:val="22"/>
                <w:lang w:eastAsia="en-US"/>
              </w:rPr>
              <w:t>for</w:t>
            </w:r>
            <w:r w:rsidRPr="00FD0229">
              <w:rPr>
                <w:rFonts w:asciiTheme="minorHAnsi" w:hAnsiTheme="minorHAnsi" w:cs="Times New Roman"/>
                <w:color w:val="auto"/>
                <w:sz w:val="22"/>
                <w:szCs w:val="22"/>
                <w:lang w:eastAsia="en-US"/>
              </w:rPr>
              <w:t xml:space="preserve"> gender equality, reduction of infant mortality and fight against the spread of HIV and AIDS, malaria and others diseases. Goals that will likely not be met by 2015 are the ones related to the eradication of extreme poverty and hunger, maternal health and environmental sustainability regarding the proportion of population having access to safe drinking water</w:t>
            </w:r>
            <w:r>
              <w:rPr>
                <w:rFonts w:asciiTheme="minorHAnsi" w:hAnsiTheme="minorHAnsi" w:cs="Times New Roman"/>
                <w:color w:val="auto"/>
                <w:sz w:val="22"/>
                <w:szCs w:val="22"/>
                <w:lang w:eastAsia="en-US"/>
              </w:rPr>
              <w:t>,</w:t>
            </w:r>
            <w:r w:rsidRPr="00FD0229">
              <w:rPr>
                <w:rFonts w:asciiTheme="minorHAnsi" w:hAnsiTheme="minorHAnsi" w:cs="Times New Roman"/>
                <w:color w:val="auto"/>
                <w:sz w:val="22"/>
                <w:szCs w:val="22"/>
                <w:lang w:eastAsia="en-US"/>
              </w:rPr>
              <w:t xml:space="preserve"> safe sanitation</w:t>
            </w:r>
            <w:r>
              <w:rPr>
                <w:rFonts w:asciiTheme="minorHAnsi" w:hAnsiTheme="minorHAnsi" w:cs="Times New Roman"/>
                <w:color w:val="auto"/>
                <w:sz w:val="22"/>
                <w:szCs w:val="22"/>
                <w:lang w:eastAsia="en-US"/>
              </w:rPr>
              <w:t xml:space="preserve"> and </w:t>
            </w:r>
            <w:r w:rsidRPr="00FD0229">
              <w:rPr>
                <w:rFonts w:asciiTheme="minorHAnsi" w:hAnsiTheme="minorHAnsi" w:cs="Times New Roman"/>
                <w:color w:val="auto"/>
                <w:sz w:val="22"/>
                <w:szCs w:val="22"/>
                <w:lang w:eastAsia="en-US"/>
              </w:rPr>
              <w:t xml:space="preserve">primary education. The fast growing sectors of the economy have not been able to trickle down and reach the poor. The </w:t>
            </w:r>
            <w:r>
              <w:rPr>
                <w:rFonts w:asciiTheme="minorHAnsi" w:hAnsiTheme="minorHAnsi" w:cs="Times New Roman"/>
                <w:color w:val="auto"/>
                <w:sz w:val="22"/>
                <w:szCs w:val="22"/>
                <w:lang w:eastAsia="en-US"/>
              </w:rPr>
              <w:t>deficient</w:t>
            </w:r>
            <w:r w:rsidRPr="00FD0229">
              <w:rPr>
                <w:rFonts w:asciiTheme="minorHAnsi" w:hAnsiTheme="minorHAnsi" w:cs="Times New Roman"/>
                <w:color w:val="auto"/>
                <w:sz w:val="22"/>
                <w:szCs w:val="22"/>
                <w:lang w:eastAsia="en-US"/>
              </w:rPr>
              <w:t xml:space="preserve"> progress in poverty reduction indicates that economic growth needs to become more inclusive. </w:t>
            </w:r>
            <w:r w:rsidRPr="00BD6817">
              <w:rPr>
                <w:rFonts w:asciiTheme="minorHAnsi" w:hAnsiTheme="minorHAnsi" w:cs="Times New Roman"/>
                <w:color w:val="auto"/>
                <w:sz w:val="22"/>
                <w:szCs w:val="22"/>
                <w:lang w:eastAsia="en-US"/>
              </w:rPr>
              <w:t>The growth in the economy has not been sufficient to provide full, productive employment to more than a small portion of the 700,000 additional workers who enter the domestic labour market every year.</w:t>
            </w:r>
            <w:r>
              <w:rPr>
                <w:rFonts w:asciiTheme="minorHAnsi" w:hAnsiTheme="minorHAnsi" w:cs="Times New Roman"/>
                <w:color w:val="auto"/>
                <w:sz w:val="22"/>
                <w:szCs w:val="22"/>
                <w:lang w:eastAsia="en-US"/>
              </w:rPr>
              <w:t xml:space="preserve"> </w:t>
            </w:r>
            <w:r w:rsidRPr="00FD0229">
              <w:rPr>
                <w:rFonts w:asciiTheme="minorHAnsi" w:hAnsiTheme="minorHAnsi" w:cs="Times New Roman"/>
                <w:color w:val="auto"/>
                <w:sz w:val="22"/>
                <w:szCs w:val="22"/>
                <w:lang w:eastAsia="en-US"/>
              </w:rPr>
              <w:t>One major challenge is to reach out to labo</w:t>
            </w:r>
            <w:r>
              <w:rPr>
                <w:rFonts w:asciiTheme="minorHAnsi" w:hAnsiTheme="minorHAnsi" w:cs="Times New Roman"/>
                <w:color w:val="auto"/>
                <w:sz w:val="22"/>
                <w:szCs w:val="22"/>
                <w:lang w:eastAsia="en-US"/>
              </w:rPr>
              <w:t>u</w:t>
            </w:r>
            <w:r w:rsidRPr="00FD0229">
              <w:rPr>
                <w:rFonts w:asciiTheme="minorHAnsi" w:hAnsiTheme="minorHAnsi" w:cs="Times New Roman"/>
                <w:color w:val="auto"/>
                <w:sz w:val="22"/>
                <w:szCs w:val="22"/>
                <w:lang w:eastAsia="en-US"/>
              </w:rPr>
              <w:t xml:space="preserve">r intensive sectors and enhance rural livelihoods and public service delivery. </w:t>
            </w:r>
          </w:p>
          <w:p w:rsidR="00B81C6E" w:rsidRDefault="00B81C6E" w:rsidP="00857C0A">
            <w:pPr>
              <w:pStyle w:val="Default"/>
              <w:jc w:val="both"/>
              <w:rPr>
                <w:rFonts w:asciiTheme="minorHAnsi" w:hAnsiTheme="minorHAnsi" w:cs="Times New Roman"/>
                <w:color w:val="auto"/>
                <w:sz w:val="22"/>
                <w:szCs w:val="22"/>
                <w:lang w:eastAsia="en-US"/>
              </w:rPr>
            </w:pPr>
          </w:p>
          <w:p w:rsidR="00AC7C1A" w:rsidRPr="00F50EC5" w:rsidRDefault="00AC7C1A" w:rsidP="00857C0A">
            <w:pPr>
              <w:autoSpaceDE w:val="0"/>
              <w:autoSpaceDN w:val="0"/>
              <w:adjustRightInd w:val="0"/>
              <w:jc w:val="both"/>
              <w:rPr>
                <w:rFonts w:asciiTheme="minorHAnsi" w:hAnsiTheme="minorHAnsi"/>
                <w:sz w:val="22"/>
                <w:szCs w:val="22"/>
              </w:rPr>
            </w:pPr>
            <w:r w:rsidRPr="00F50EC5">
              <w:rPr>
                <w:rFonts w:asciiTheme="minorHAnsi" w:hAnsiTheme="minorHAnsi"/>
                <w:sz w:val="22"/>
                <w:szCs w:val="22"/>
              </w:rPr>
              <w:t xml:space="preserve">In order to be able to formulate better pro-poor policies and priorities, poverty trends and dynamics need to be better understood. The results of the long awaited Household Budget Survey 2012 indicate that the overall basic needs poverty in Tanzania is 36,482 Tanzanian Shillings per adult equivalent per month and </w:t>
            </w:r>
            <w:r w:rsidR="00B81C6E">
              <w:rPr>
                <w:rFonts w:asciiTheme="minorHAnsi" w:hAnsiTheme="minorHAnsi"/>
                <w:sz w:val="22"/>
                <w:szCs w:val="22"/>
              </w:rPr>
              <w:t xml:space="preserve">the </w:t>
            </w:r>
            <w:r w:rsidRPr="00F50EC5">
              <w:rPr>
                <w:rFonts w:asciiTheme="minorHAnsi" w:hAnsiTheme="minorHAnsi"/>
                <w:sz w:val="22"/>
                <w:szCs w:val="22"/>
              </w:rPr>
              <w:t>food poverty line is 26,085 Tanzanian Shillings per adult equivalent per month. This means that 28.2% o</w:t>
            </w:r>
            <w:r w:rsidR="00B81C6E">
              <w:rPr>
                <w:rFonts w:asciiTheme="minorHAnsi" w:hAnsiTheme="minorHAnsi"/>
                <w:sz w:val="22"/>
                <w:szCs w:val="22"/>
              </w:rPr>
              <w:t>f the Tanzanian population fall</w:t>
            </w:r>
            <w:r w:rsidRPr="00F50EC5">
              <w:rPr>
                <w:rFonts w:asciiTheme="minorHAnsi" w:hAnsiTheme="minorHAnsi"/>
                <w:sz w:val="22"/>
                <w:szCs w:val="22"/>
              </w:rPr>
              <w:t xml:space="preserve"> below the basic needs poverty line with a percentage of 33.3 </w:t>
            </w:r>
            <w:r w:rsidR="00CE69EA">
              <w:rPr>
                <w:rFonts w:asciiTheme="minorHAnsi" w:hAnsiTheme="minorHAnsi"/>
                <w:sz w:val="22"/>
                <w:szCs w:val="22"/>
              </w:rPr>
              <w:br/>
            </w:r>
            <w:r w:rsidRPr="00F50EC5">
              <w:rPr>
                <w:rFonts w:asciiTheme="minorHAnsi" w:hAnsiTheme="minorHAnsi"/>
                <w:sz w:val="22"/>
                <w:szCs w:val="22"/>
              </w:rPr>
              <w:t>in rural areas</w:t>
            </w:r>
            <w:r w:rsidR="00B81C6E">
              <w:rPr>
                <w:rFonts w:asciiTheme="minorHAnsi" w:hAnsiTheme="minorHAnsi"/>
                <w:sz w:val="22"/>
                <w:szCs w:val="22"/>
              </w:rPr>
              <w:t>, and 9</w:t>
            </w:r>
            <w:proofErr w:type="gramStart"/>
            <w:r w:rsidR="00B81C6E">
              <w:rPr>
                <w:rFonts w:asciiTheme="minorHAnsi" w:hAnsiTheme="minorHAnsi"/>
                <w:sz w:val="22"/>
                <w:szCs w:val="22"/>
              </w:rPr>
              <w:t>,7</w:t>
            </w:r>
            <w:proofErr w:type="gramEnd"/>
            <w:r w:rsidR="00B81C6E">
              <w:rPr>
                <w:rFonts w:asciiTheme="minorHAnsi" w:hAnsiTheme="minorHAnsi"/>
                <w:sz w:val="22"/>
                <w:szCs w:val="22"/>
              </w:rPr>
              <w:t>% fall</w:t>
            </w:r>
            <w:r w:rsidRPr="00F50EC5">
              <w:rPr>
                <w:rFonts w:asciiTheme="minorHAnsi" w:hAnsiTheme="minorHAnsi"/>
                <w:sz w:val="22"/>
                <w:szCs w:val="22"/>
              </w:rPr>
              <w:t xml:space="preserve"> below the food poverty line</w:t>
            </w:r>
            <w:r w:rsidRPr="00B83B2B">
              <w:rPr>
                <w:rFonts w:asciiTheme="minorHAnsi" w:hAnsiTheme="minorHAnsi"/>
                <w:sz w:val="22"/>
                <w:szCs w:val="22"/>
              </w:rPr>
              <w:t xml:space="preserve">. </w:t>
            </w:r>
            <w:r w:rsidR="00B81C6E" w:rsidRPr="00B83B2B">
              <w:rPr>
                <w:rFonts w:asciiTheme="minorHAnsi" w:hAnsiTheme="minorHAnsi"/>
                <w:sz w:val="22"/>
                <w:szCs w:val="22"/>
              </w:rPr>
              <w:t>I</w:t>
            </w:r>
            <w:r w:rsidR="00B81C6E" w:rsidRPr="00B81C6E">
              <w:rPr>
                <w:rFonts w:asciiTheme="minorHAnsi" w:hAnsiTheme="minorHAnsi"/>
                <w:sz w:val="22"/>
                <w:szCs w:val="22"/>
              </w:rPr>
              <w:t xml:space="preserve">t is important to review HBS 2007 to </w:t>
            </w:r>
            <w:r w:rsidR="00440907" w:rsidRPr="00B83B2B">
              <w:rPr>
                <w:rFonts w:asciiTheme="minorHAnsi" w:hAnsiTheme="minorHAnsi"/>
                <w:sz w:val="22"/>
                <w:szCs w:val="22"/>
              </w:rPr>
              <w:t xml:space="preserve">attempt to </w:t>
            </w:r>
            <w:r w:rsidR="00B81C6E" w:rsidRPr="00B81C6E">
              <w:rPr>
                <w:rFonts w:asciiTheme="minorHAnsi" w:hAnsiTheme="minorHAnsi"/>
                <w:sz w:val="22"/>
                <w:szCs w:val="22"/>
              </w:rPr>
              <w:t>match with HBS 2011/2012 methodology to be able to analyse and confirm the poverty trend.</w:t>
            </w:r>
            <w:r w:rsidR="00B81C6E" w:rsidRPr="00B83B2B">
              <w:rPr>
                <w:rFonts w:asciiTheme="minorHAnsi" w:hAnsiTheme="minorHAnsi"/>
                <w:sz w:val="22"/>
                <w:szCs w:val="22"/>
              </w:rPr>
              <w:t xml:space="preserve"> </w:t>
            </w:r>
            <w:r w:rsidRPr="00B83B2B">
              <w:rPr>
                <w:rFonts w:asciiTheme="minorHAnsi" w:hAnsiTheme="minorHAnsi"/>
                <w:sz w:val="22"/>
                <w:szCs w:val="22"/>
              </w:rPr>
              <w:t>Overall, there is a need to ensure</w:t>
            </w:r>
            <w:r w:rsidRPr="00F50EC5">
              <w:rPr>
                <w:rFonts w:asciiTheme="minorHAnsi" w:hAnsiTheme="minorHAnsi"/>
                <w:sz w:val="22"/>
                <w:szCs w:val="22"/>
              </w:rPr>
              <w:t xml:space="preserve"> timely and high quality data, in-depth analysis and dedicated debate to poverty trends. It will be important that findings on poverty are used to inform the development of more pro-poor policies and prioritisation of spending, so that quality and equity of services can be improved. </w:t>
            </w:r>
            <w:r w:rsidR="00B81C6E">
              <w:rPr>
                <w:rFonts w:asciiTheme="minorHAnsi" w:hAnsiTheme="minorHAnsi"/>
                <w:sz w:val="22"/>
                <w:szCs w:val="22"/>
              </w:rPr>
              <w:t xml:space="preserve"> </w:t>
            </w:r>
          </w:p>
          <w:p w:rsidR="00B81C6E" w:rsidRPr="00B81C6E" w:rsidRDefault="00B81C6E" w:rsidP="00B81C6E">
            <w:r w:rsidRPr="00B81C6E">
              <w:rPr>
                <w:rFonts w:asciiTheme="minorHAnsi" w:hAnsiTheme="minorHAnsi"/>
                <w:sz w:val="22"/>
                <w:szCs w:val="22"/>
              </w:rPr>
              <w:t>Recent HBS 2011/2012 reveals that 28</w:t>
            </w:r>
            <w:proofErr w:type="gramStart"/>
            <w:r w:rsidRPr="00B81C6E">
              <w:rPr>
                <w:rFonts w:asciiTheme="minorHAnsi" w:hAnsiTheme="minorHAnsi"/>
                <w:sz w:val="22"/>
                <w:szCs w:val="22"/>
              </w:rPr>
              <w:t>,2</w:t>
            </w:r>
            <w:proofErr w:type="gramEnd"/>
            <w:r w:rsidRPr="00B81C6E">
              <w:rPr>
                <w:rFonts w:asciiTheme="minorHAnsi" w:hAnsiTheme="minorHAnsi"/>
                <w:sz w:val="22"/>
                <w:szCs w:val="22"/>
              </w:rPr>
              <w:t xml:space="preserve"> % of the Tanzanian population falls below the basic needs poverty line and 9,7% falls below the food poverty line. </w:t>
            </w:r>
          </w:p>
          <w:p w:rsidR="00AC7C1A" w:rsidRPr="00FD0229" w:rsidRDefault="00AC7C1A" w:rsidP="00857C0A">
            <w:pPr>
              <w:pStyle w:val="Default"/>
              <w:jc w:val="both"/>
              <w:rPr>
                <w:rFonts w:asciiTheme="minorHAnsi" w:hAnsiTheme="minorHAnsi" w:cs="Times New Roman"/>
                <w:color w:val="auto"/>
                <w:sz w:val="22"/>
                <w:szCs w:val="22"/>
                <w:lang w:eastAsia="en-US"/>
              </w:rPr>
            </w:pPr>
          </w:p>
          <w:p w:rsidR="00D507E6" w:rsidRDefault="00AC7C1A" w:rsidP="00D507E6">
            <w:pPr>
              <w:jc w:val="both"/>
              <w:rPr>
                <w:sz w:val="22"/>
                <w:szCs w:val="22"/>
              </w:rPr>
            </w:pPr>
            <w:r w:rsidRPr="00FD0229">
              <w:rPr>
                <w:rFonts w:asciiTheme="minorHAnsi" w:hAnsiTheme="minorHAnsi"/>
                <w:sz w:val="22"/>
                <w:szCs w:val="22"/>
              </w:rPr>
              <w:lastRenderedPageBreak/>
              <w:t xml:space="preserve">In an effort to strengthen its pledge to reduce poverty, the GoT embarked, in 2013, on a further narrowing of focus and strives to speed up the implementation of the FYDP through the initiative Big Results Now (BRN). This new tool is being put in place to assist the GoT in setting priorities and monitor the rapid implementation of these key priorities (before mid-2015). Six key priority areas have been identified: energy, agriculture, water, education, </w:t>
            </w:r>
            <w:proofErr w:type="gramStart"/>
            <w:r w:rsidRPr="00FD0229">
              <w:rPr>
                <w:rFonts w:asciiTheme="minorHAnsi" w:hAnsiTheme="minorHAnsi"/>
                <w:sz w:val="22"/>
                <w:szCs w:val="22"/>
              </w:rPr>
              <w:t>transport</w:t>
            </w:r>
            <w:proofErr w:type="gramEnd"/>
            <w:r w:rsidRPr="00FD0229">
              <w:rPr>
                <w:rFonts w:asciiTheme="minorHAnsi" w:hAnsiTheme="minorHAnsi"/>
                <w:sz w:val="22"/>
                <w:szCs w:val="22"/>
              </w:rPr>
              <w:t xml:space="preserve"> and revenue mobilization.</w:t>
            </w:r>
            <w:r w:rsidRPr="001E652D">
              <w:rPr>
                <w:rFonts w:asciiTheme="minorHAnsi" w:hAnsiTheme="minorHAnsi" w:cs="Arial"/>
                <w:sz w:val="22"/>
                <w:szCs w:val="22"/>
              </w:rPr>
              <w:t xml:space="preserve"> </w:t>
            </w:r>
            <w:r w:rsidRPr="00B83B2B">
              <w:rPr>
                <w:rFonts w:asciiTheme="minorHAnsi" w:hAnsiTheme="minorHAnsi" w:cs="Arial"/>
                <w:sz w:val="22"/>
                <w:szCs w:val="22"/>
              </w:rPr>
              <w:t xml:space="preserve">One additional Lab on Business Environment has been put in place early 2014 to prioritise fixing the business climate challenges and to elevate the search for solutions and action plans. </w:t>
            </w:r>
            <w:r w:rsidR="00D507E6" w:rsidRPr="00B83B2B">
              <w:rPr>
                <w:rFonts w:asciiTheme="minorHAnsi" w:hAnsiTheme="minorHAnsi" w:cs="Arial"/>
                <w:sz w:val="22"/>
                <w:szCs w:val="22"/>
              </w:rPr>
              <w:t xml:space="preserve">It </w:t>
            </w:r>
            <w:r w:rsidR="00D507E6" w:rsidRPr="00B83B2B">
              <w:rPr>
                <w:rFonts w:asciiTheme="minorHAnsi" w:hAnsiTheme="minorHAnsi" w:cs="Arial"/>
                <w:sz w:val="22"/>
                <w:szCs w:val="22"/>
              </w:rPr>
              <w:t>provides an opportunity to brainstorm with the private sector around what are the imperative steps to achieve economic development and poverty reduction.</w:t>
            </w:r>
            <w:r w:rsidR="00D507E6">
              <w:rPr>
                <w:rFonts w:asciiTheme="minorHAnsi" w:hAnsiTheme="minorHAnsi" w:cs="Arial"/>
                <w:sz w:val="22"/>
                <w:szCs w:val="22"/>
              </w:rPr>
              <w:t xml:space="preserve"> </w:t>
            </w:r>
            <w:r w:rsidRPr="00FD0229">
              <w:rPr>
                <w:rFonts w:asciiTheme="minorHAnsi" w:hAnsiTheme="minorHAnsi"/>
                <w:sz w:val="22"/>
                <w:szCs w:val="22"/>
              </w:rPr>
              <w:t xml:space="preserve">In addition to political leadership at the highest level, inter-ministerial collaboration and coordination are needed to address many of the systemic causes which continue to give shape to the current situation. Moreover, equitable resourcing and implementation of articulated pro-poor policies are required to demonstrate </w:t>
            </w:r>
            <w:proofErr w:type="spellStart"/>
            <w:r w:rsidRPr="00FD0229">
              <w:rPr>
                <w:rFonts w:asciiTheme="minorHAnsi" w:hAnsiTheme="minorHAnsi"/>
                <w:sz w:val="22"/>
                <w:szCs w:val="22"/>
              </w:rPr>
              <w:t>GoT’s</w:t>
            </w:r>
            <w:proofErr w:type="spellEnd"/>
            <w:r w:rsidRPr="00FD0229">
              <w:rPr>
                <w:rFonts w:asciiTheme="minorHAnsi" w:hAnsiTheme="minorHAnsi"/>
                <w:sz w:val="22"/>
                <w:szCs w:val="22"/>
              </w:rPr>
              <w:t xml:space="preserve"> renewed commitment.</w:t>
            </w:r>
            <w:r>
              <w:rPr>
                <w:rFonts w:asciiTheme="minorHAnsi" w:hAnsiTheme="minorHAnsi"/>
                <w:sz w:val="22"/>
                <w:szCs w:val="22"/>
              </w:rPr>
              <w:t xml:space="preserve"> It is necessary to engage with the private sector through public private partnership to participate in FYDP and BRN’s investments plans. </w:t>
            </w:r>
          </w:p>
          <w:p w:rsidR="00AC7C1A" w:rsidRDefault="00AC7C1A" w:rsidP="00857C0A">
            <w:pPr>
              <w:jc w:val="both"/>
              <w:rPr>
                <w:sz w:val="22"/>
                <w:szCs w:val="22"/>
              </w:rPr>
            </w:pPr>
          </w:p>
          <w:p w:rsidR="00AC7C1A" w:rsidRPr="00AC7C1A" w:rsidRDefault="00AC7C1A" w:rsidP="00CE69EA">
            <w:pPr>
              <w:pStyle w:val="Default"/>
              <w:spacing w:after="240"/>
              <w:jc w:val="both"/>
              <w:rPr>
                <w:rFonts w:asciiTheme="minorHAnsi" w:hAnsiTheme="minorHAnsi" w:cs="Times New Roman"/>
                <w:color w:val="auto"/>
                <w:sz w:val="22"/>
                <w:szCs w:val="22"/>
                <w:lang w:eastAsia="en-US"/>
              </w:rPr>
            </w:pPr>
            <w:r w:rsidRPr="00FD0229">
              <w:rPr>
                <w:rFonts w:asciiTheme="minorHAnsi" w:hAnsiTheme="minorHAnsi" w:cs="Times New Roman"/>
                <w:color w:val="auto"/>
                <w:sz w:val="22"/>
                <w:szCs w:val="22"/>
                <w:lang w:eastAsia="en-US"/>
              </w:rPr>
              <w:t xml:space="preserve">In terms of growth contributing sectors, the transport sector is facing important financing gaps that have affected maintenance and long-term planning. In addition, the lack of reliable, affordable and sustainable energy services continues to be a critical constraint for private sector development. There are improvements in key areas (e.g. institutional strengthening for agricultural research, upgrade and rehabilitation of trunk and regional roads, draft national policy for private sector development); however challenges remain for public expenditure efficiency and the regulatory framework. In relation to public service delivery - particularly in terms of overall access to education and health - Tanzania is making important progress. However, there is concern about the unequal access to and quality of basic public services. For education, water, and health sectors, inequities exist based on geography, wealth, and urban/rural residence. While there has been success across a range of public service delivery areas, there is a need to improve both quality of public service delivery and measurement of their implementation effectiveness on the ground. Insufficient budget allocation, weak management and a lack of accountability for the delivery of results and quality services are compromising service delivery. </w:t>
            </w:r>
          </w:p>
        </w:tc>
      </w:tr>
    </w:tbl>
    <w:p w:rsidR="00AC7C1A" w:rsidRDefault="00AC7C1A" w:rsidP="00AC7C1A">
      <w:pPr>
        <w:jc w:val="center"/>
      </w:pPr>
      <w:r w:rsidRPr="0041674D">
        <w:lastRenderedPageBreak/>
        <w:t xml:space="preserve"> </w:t>
      </w:r>
    </w:p>
    <w:p w:rsidR="00AC7C1A" w:rsidRDefault="00AC7C1A" w:rsidP="00AC7C1A">
      <w:pPr>
        <w:rPr>
          <w:rFonts w:asciiTheme="minorHAnsi" w:hAnsiTheme="minorHAnsi"/>
          <w:b/>
          <w:noProof/>
          <w:sz w:val="32"/>
          <w:szCs w:val="32"/>
          <w:u w:val="single"/>
          <w:lang w:eastAsia="en-GB"/>
        </w:rPr>
      </w:pPr>
    </w:p>
    <w:p w:rsidR="00CE69EA" w:rsidRDefault="00CE69EA">
      <w:pPr>
        <w:rPr>
          <w:rFonts w:ascii="Calibri" w:hAnsi="Calibri"/>
          <w:b/>
          <w:noProof/>
          <w:sz w:val="32"/>
          <w:szCs w:val="32"/>
          <w:u w:val="single"/>
          <w:lang w:eastAsia="en-GB"/>
        </w:rPr>
      </w:pPr>
      <w:r>
        <w:rPr>
          <w:rFonts w:ascii="Calibri" w:hAnsi="Calibri"/>
          <w:b/>
          <w:noProof/>
          <w:sz w:val="32"/>
          <w:szCs w:val="32"/>
          <w:u w:val="single"/>
          <w:lang w:eastAsia="en-GB"/>
        </w:rPr>
        <w:br w:type="page"/>
      </w:r>
    </w:p>
    <w:p w:rsidR="00CA2D2C" w:rsidRPr="00CA2D2C" w:rsidRDefault="00CA2D2C" w:rsidP="00CA2D2C">
      <w:pPr>
        <w:rPr>
          <w:rFonts w:ascii="Calibri" w:hAnsi="Calibri"/>
          <w:b/>
          <w:sz w:val="32"/>
          <w:szCs w:val="32"/>
          <w:u w:val="single"/>
        </w:rPr>
      </w:pPr>
      <w:r w:rsidRPr="00CA2D2C">
        <w:rPr>
          <w:rFonts w:ascii="Calibri" w:hAnsi="Calibri"/>
          <w:b/>
          <w:noProof/>
          <w:sz w:val="32"/>
          <w:szCs w:val="32"/>
          <w:u w:val="single"/>
          <w:lang w:eastAsia="en-GB"/>
        </w:rPr>
        <w:lastRenderedPageBreak/>
        <w:t>Underlying Principle 3</w:t>
      </w:r>
    </w:p>
    <w:p w:rsidR="00CA2D2C" w:rsidRPr="00CA2D2C" w:rsidRDefault="00CA2D2C" w:rsidP="00CA2D2C">
      <w:pPr>
        <w:jc w:val="cente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701"/>
        <w:gridCol w:w="10425"/>
      </w:tblGrid>
      <w:tr w:rsidR="00CA2D2C" w:rsidRPr="00CA2D2C" w:rsidTr="00906EC7">
        <w:tc>
          <w:tcPr>
            <w:tcW w:w="3794" w:type="dxa"/>
            <w:shd w:val="clear" w:color="auto" w:fill="BFBFBF"/>
          </w:tcPr>
          <w:p w:rsidR="00CA2D2C" w:rsidRPr="00CA2D2C" w:rsidRDefault="00CA2D2C" w:rsidP="00CA2D2C">
            <w:pPr>
              <w:jc w:val="center"/>
              <w:rPr>
                <w:rFonts w:ascii="Calibri" w:hAnsi="Calibri"/>
                <w:b/>
                <w:u w:val="single"/>
              </w:rPr>
            </w:pPr>
            <w:r w:rsidRPr="00CA2D2C">
              <w:rPr>
                <w:rFonts w:ascii="Calibri" w:hAnsi="Calibri"/>
                <w:b/>
                <w:sz w:val="22"/>
                <w:szCs w:val="22"/>
                <w:u w:val="single"/>
              </w:rPr>
              <w:t>UP</w:t>
            </w:r>
          </w:p>
        </w:tc>
        <w:tc>
          <w:tcPr>
            <w:tcW w:w="1701" w:type="dxa"/>
            <w:shd w:val="clear" w:color="auto" w:fill="BFBFBF"/>
          </w:tcPr>
          <w:p w:rsidR="00CA2D2C" w:rsidRPr="00CA2D2C" w:rsidRDefault="00CA2D2C" w:rsidP="00CA2D2C">
            <w:pPr>
              <w:jc w:val="center"/>
              <w:rPr>
                <w:rFonts w:ascii="Calibri" w:hAnsi="Calibri"/>
                <w:b/>
                <w:u w:val="single"/>
              </w:rPr>
            </w:pPr>
            <w:r w:rsidRPr="00CA2D2C">
              <w:rPr>
                <w:rFonts w:ascii="Calibri" w:hAnsi="Calibri"/>
                <w:b/>
                <w:sz w:val="22"/>
                <w:szCs w:val="22"/>
                <w:u w:val="single"/>
              </w:rPr>
              <w:t>Summary Assessment</w:t>
            </w:r>
          </w:p>
        </w:tc>
        <w:tc>
          <w:tcPr>
            <w:tcW w:w="10425" w:type="dxa"/>
            <w:shd w:val="clear" w:color="auto" w:fill="BFBFBF"/>
          </w:tcPr>
          <w:p w:rsidR="00CA2D2C" w:rsidRPr="00CA2D2C" w:rsidRDefault="00CA2D2C" w:rsidP="00CA2D2C">
            <w:pPr>
              <w:jc w:val="center"/>
              <w:rPr>
                <w:rFonts w:ascii="Calibri" w:hAnsi="Calibri"/>
                <w:b/>
                <w:u w:val="single"/>
              </w:rPr>
            </w:pPr>
            <w:r w:rsidRPr="00CA2D2C">
              <w:rPr>
                <w:rFonts w:ascii="Calibri" w:hAnsi="Calibri"/>
                <w:b/>
                <w:sz w:val="22"/>
                <w:szCs w:val="22"/>
                <w:u w:val="single"/>
              </w:rPr>
              <w:t>Key Concerns to Raise in Dialogue</w:t>
            </w:r>
          </w:p>
        </w:tc>
      </w:tr>
      <w:tr w:rsidR="00F73842" w:rsidRPr="00CA2D2C" w:rsidTr="00906EC7">
        <w:tc>
          <w:tcPr>
            <w:tcW w:w="3794" w:type="dxa"/>
            <w:shd w:val="clear" w:color="auto" w:fill="D9D9D9"/>
          </w:tcPr>
          <w:p w:rsidR="00F73842" w:rsidRPr="00CA2D2C" w:rsidRDefault="00F73842" w:rsidP="00CA2D2C">
            <w:pPr>
              <w:rPr>
                <w:rFonts w:ascii="Calibri" w:hAnsi="Calibri"/>
                <w:b/>
              </w:rPr>
            </w:pPr>
          </w:p>
          <w:p w:rsidR="00F73842" w:rsidRPr="00CA2D2C" w:rsidRDefault="00F73842" w:rsidP="00CA2D2C">
            <w:pPr>
              <w:rPr>
                <w:rFonts w:ascii="Calibri" w:hAnsi="Calibri"/>
                <w:b/>
              </w:rPr>
            </w:pPr>
            <w:r w:rsidRPr="00CA2D2C">
              <w:rPr>
                <w:rFonts w:ascii="Calibri" w:hAnsi="Calibri"/>
                <w:b/>
                <w:sz w:val="22"/>
                <w:szCs w:val="22"/>
              </w:rPr>
              <w:t>Continually strengthened budgeting and public financial management systems</w:t>
            </w:r>
          </w:p>
        </w:tc>
        <w:tc>
          <w:tcPr>
            <w:tcW w:w="1701" w:type="dxa"/>
            <w:shd w:val="clear" w:color="auto" w:fill="92D050"/>
          </w:tcPr>
          <w:p w:rsidR="00F73842" w:rsidRPr="00CA2D2C" w:rsidRDefault="00F73842" w:rsidP="00CA2D2C">
            <w:pPr>
              <w:jc w:val="center"/>
              <w:rPr>
                <w:rFonts w:ascii="Calibri" w:hAnsi="Calibri"/>
                <w:b/>
              </w:rPr>
            </w:pPr>
          </w:p>
          <w:p w:rsidR="00F73842" w:rsidRPr="00CA2D2C" w:rsidRDefault="00F73842" w:rsidP="00CA2D2C">
            <w:pPr>
              <w:jc w:val="center"/>
              <w:rPr>
                <w:rFonts w:ascii="Calibri" w:hAnsi="Calibri"/>
                <w:b/>
              </w:rPr>
            </w:pPr>
            <w:r w:rsidRPr="00CA2D2C">
              <w:rPr>
                <w:rFonts w:ascii="Calibri" w:hAnsi="Calibri"/>
                <w:b/>
                <w:sz w:val="22"/>
                <w:szCs w:val="22"/>
              </w:rPr>
              <w:t>Green</w:t>
            </w:r>
          </w:p>
        </w:tc>
        <w:tc>
          <w:tcPr>
            <w:tcW w:w="10425" w:type="dxa"/>
          </w:tcPr>
          <w:p w:rsidR="00F73842" w:rsidRPr="00B83B2B" w:rsidRDefault="00F73842" w:rsidP="00E13040">
            <w:pPr>
              <w:rPr>
                <w:rFonts w:ascii="Calibri" w:hAnsi="Calibri"/>
                <w:b/>
                <w:lang w:val="en-US"/>
              </w:rPr>
            </w:pPr>
            <w:r w:rsidRPr="00B83B2B">
              <w:rPr>
                <w:rFonts w:ascii="Calibri" w:hAnsi="Calibri"/>
                <w:b/>
                <w:sz w:val="22"/>
                <w:szCs w:val="22"/>
                <w:lang w:val="en-US"/>
              </w:rPr>
              <w:t>(a) Budget Credibility</w:t>
            </w:r>
          </w:p>
          <w:p w:rsidR="00F73842" w:rsidRPr="00B83B2B" w:rsidRDefault="00F73842" w:rsidP="00E13040">
            <w:pPr>
              <w:ind w:left="360"/>
              <w:rPr>
                <w:rFonts w:ascii="Calibri" w:hAnsi="Calibri"/>
                <w:lang w:val="en-US"/>
              </w:rPr>
            </w:pPr>
            <w:r w:rsidRPr="00B83B2B">
              <w:rPr>
                <w:rFonts w:ascii="Calibri" w:hAnsi="Calibri"/>
                <w:sz w:val="22"/>
                <w:szCs w:val="22"/>
                <w:lang w:val="en-US"/>
              </w:rPr>
              <w:t xml:space="preserve">(1) </w:t>
            </w:r>
            <w:r w:rsidR="00016479" w:rsidRPr="00B83B2B">
              <w:rPr>
                <w:rFonts w:ascii="Calibri" w:hAnsi="Calibri"/>
                <w:sz w:val="22"/>
                <w:szCs w:val="22"/>
                <w:lang w:val="en-US"/>
              </w:rPr>
              <w:t>The budget process delivers a budget which</w:t>
            </w:r>
            <w:r w:rsidRPr="00B83B2B">
              <w:rPr>
                <w:rFonts w:ascii="Calibri" w:hAnsi="Calibri"/>
                <w:sz w:val="22"/>
                <w:szCs w:val="22"/>
                <w:lang w:val="en-US"/>
              </w:rPr>
              <w:t xml:space="preserve"> is not being realistic</w:t>
            </w:r>
            <w:r w:rsidRPr="00B83B2B">
              <w:rPr>
                <w:rFonts w:ascii="Calibri" w:hAnsi="Calibri"/>
                <w:sz w:val="22"/>
                <w:szCs w:val="22"/>
                <w:lang w:val="en-US"/>
              </w:rPr>
              <w:t xml:space="preserve">. </w:t>
            </w:r>
            <w:r w:rsidR="00016479" w:rsidRPr="00B83B2B">
              <w:rPr>
                <w:rFonts w:ascii="Calibri" w:hAnsi="Calibri"/>
                <w:sz w:val="22"/>
                <w:szCs w:val="22"/>
                <w:lang w:val="en-US"/>
              </w:rPr>
              <w:t xml:space="preserve">Of particular concern are </w:t>
            </w:r>
            <w:r w:rsidR="00EE7469" w:rsidRPr="00B83B2B">
              <w:rPr>
                <w:rFonts w:ascii="Calibri" w:hAnsi="Calibri"/>
                <w:sz w:val="22"/>
                <w:szCs w:val="22"/>
                <w:lang w:val="en-US"/>
              </w:rPr>
              <w:t xml:space="preserve">fiscal expansion, </w:t>
            </w:r>
            <w:r w:rsidR="00016479" w:rsidRPr="00B83B2B">
              <w:rPr>
                <w:rFonts w:ascii="Calibri" w:hAnsi="Calibri"/>
                <w:sz w:val="22"/>
                <w:szCs w:val="22"/>
                <w:lang w:val="en-US"/>
              </w:rPr>
              <w:t>inaccurate revenue forecasting</w:t>
            </w:r>
            <w:r w:rsidR="00512B5A" w:rsidRPr="00B83B2B">
              <w:rPr>
                <w:rFonts w:ascii="Calibri" w:hAnsi="Calibri"/>
                <w:sz w:val="22"/>
                <w:szCs w:val="22"/>
                <w:lang w:val="en-US"/>
              </w:rPr>
              <w:t xml:space="preserve"> and</w:t>
            </w:r>
            <w:r w:rsidR="00016479" w:rsidRPr="00B83B2B">
              <w:rPr>
                <w:rFonts w:ascii="Calibri" w:hAnsi="Calibri"/>
                <w:sz w:val="22"/>
                <w:szCs w:val="22"/>
                <w:lang w:val="en-US"/>
              </w:rPr>
              <w:t xml:space="preserve"> </w:t>
            </w:r>
            <w:r w:rsidR="00016479" w:rsidRPr="00B83B2B">
              <w:rPr>
                <w:rFonts w:ascii="Calibri" w:hAnsi="Calibri"/>
                <w:sz w:val="22"/>
                <w:szCs w:val="22"/>
                <w:lang w:val="en-US"/>
              </w:rPr>
              <w:t>accumulation of arrears</w:t>
            </w:r>
            <w:r w:rsidRPr="00B83B2B">
              <w:rPr>
                <w:rFonts w:ascii="Calibri" w:hAnsi="Calibri"/>
                <w:sz w:val="22"/>
                <w:szCs w:val="22"/>
                <w:lang w:val="en-US"/>
              </w:rPr>
              <w:t>.</w:t>
            </w:r>
          </w:p>
          <w:p w:rsidR="00F73842" w:rsidRPr="00B83B2B" w:rsidRDefault="00F73842" w:rsidP="005551D4">
            <w:pPr>
              <w:ind w:left="360"/>
              <w:rPr>
                <w:rFonts w:ascii="Calibri" w:hAnsi="Calibri"/>
                <w:lang w:val="en-US"/>
              </w:rPr>
            </w:pPr>
            <w:r w:rsidRPr="00B83B2B">
              <w:rPr>
                <w:rFonts w:ascii="Calibri" w:hAnsi="Calibri"/>
                <w:sz w:val="22"/>
                <w:szCs w:val="22"/>
                <w:lang w:val="en-US"/>
              </w:rPr>
              <w:t>(2) PFMRP is engaging on all these issues but continued high level ownership is required</w:t>
            </w:r>
            <w:r w:rsidRPr="00B83B2B">
              <w:rPr>
                <w:rFonts w:ascii="Calibri" w:hAnsi="Calibri"/>
                <w:sz w:val="22"/>
                <w:szCs w:val="22"/>
                <w:lang w:val="en-US"/>
              </w:rPr>
              <w:t>.</w:t>
            </w:r>
            <w:r w:rsidRPr="00B83B2B">
              <w:rPr>
                <w:rFonts w:ascii="Calibri" w:hAnsi="Calibri"/>
                <w:sz w:val="22"/>
                <w:szCs w:val="22"/>
                <w:lang w:val="en-US"/>
              </w:rPr>
              <w:t xml:space="preserve"> </w:t>
            </w:r>
          </w:p>
          <w:p w:rsidR="00F73842" w:rsidRPr="00B83B2B" w:rsidRDefault="00F73842" w:rsidP="00E13040">
            <w:pPr>
              <w:rPr>
                <w:rFonts w:ascii="Calibri" w:hAnsi="Calibri"/>
                <w:b/>
                <w:lang w:val="en-US"/>
              </w:rPr>
            </w:pPr>
            <w:r w:rsidRPr="00B83B2B">
              <w:rPr>
                <w:rFonts w:ascii="Calibri" w:hAnsi="Calibri"/>
                <w:b/>
                <w:sz w:val="22"/>
                <w:szCs w:val="22"/>
                <w:lang w:val="en-US"/>
              </w:rPr>
              <w:t>(b) Legislative Reforms</w:t>
            </w:r>
          </w:p>
          <w:p w:rsidR="00F73842" w:rsidRPr="00B83B2B" w:rsidRDefault="00F73842" w:rsidP="005551D4">
            <w:pPr>
              <w:ind w:left="360"/>
              <w:rPr>
                <w:rFonts w:ascii="Calibri" w:hAnsi="Calibri"/>
                <w:lang w:val="en-US"/>
              </w:rPr>
            </w:pPr>
            <w:r w:rsidRPr="00B83B2B">
              <w:rPr>
                <w:rFonts w:ascii="Calibri" w:hAnsi="Calibri"/>
                <w:sz w:val="22"/>
                <w:szCs w:val="22"/>
                <w:lang w:val="en-US"/>
              </w:rPr>
              <w:t xml:space="preserve">A number of necessary legislative reforms are pending. </w:t>
            </w:r>
            <w:r w:rsidR="00016479" w:rsidRPr="00B83B2B">
              <w:rPr>
                <w:rFonts w:ascii="Calibri" w:hAnsi="Calibri"/>
                <w:sz w:val="22"/>
                <w:szCs w:val="22"/>
                <w:lang w:val="en-US"/>
              </w:rPr>
              <w:t xml:space="preserve">These include VAT Act, Tax Administration Act, amendments to Public Finance Act, Local Government Finance Act, new Loans and Guarantees Act, Treasury Registrar Act and others. </w:t>
            </w:r>
            <w:r w:rsidRPr="00B83B2B">
              <w:rPr>
                <w:rFonts w:ascii="Calibri" w:hAnsi="Calibri"/>
                <w:sz w:val="22"/>
                <w:szCs w:val="22"/>
                <w:lang w:val="en-US"/>
              </w:rPr>
              <w:t>It is necessary</w:t>
            </w:r>
            <w:r w:rsidRPr="00B83B2B">
              <w:rPr>
                <w:rFonts w:ascii="Calibri" w:hAnsi="Calibri"/>
                <w:sz w:val="22"/>
                <w:szCs w:val="22"/>
                <w:lang w:val="en-US"/>
              </w:rPr>
              <w:t xml:space="preserve"> that these changes are </w:t>
            </w:r>
            <w:r w:rsidR="00016479" w:rsidRPr="00B83B2B">
              <w:rPr>
                <w:rFonts w:ascii="Calibri" w:hAnsi="Calibri"/>
                <w:sz w:val="22"/>
                <w:szCs w:val="22"/>
                <w:lang w:val="en-US"/>
              </w:rPr>
              <w:t>submitted to parliament</w:t>
            </w:r>
            <w:r w:rsidRPr="00B83B2B">
              <w:rPr>
                <w:rFonts w:ascii="Calibri" w:hAnsi="Calibri"/>
                <w:sz w:val="22"/>
                <w:szCs w:val="22"/>
                <w:lang w:val="en-US"/>
              </w:rPr>
              <w:t xml:space="preserve"> as quickly as possible</w:t>
            </w:r>
            <w:r w:rsidRPr="00B83B2B">
              <w:rPr>
                <w:rFonts w:ascii="Calibri" w:hAnsi="Calibri"/>
                <w:sz w:val="22"/>
                <w:szCs w:val="22"/>
                <w:lang w:val="en-US"/>
              </w:rPr>
              <w:t xml:space="preserve"> in order to </w:t>
            </w:r>
            <w:r w:rsidR="00016479" w:rsidRPr="00B83B2B">
              <w:rPr>
                <w:rFonts w:ascii="Calibri" w:hAnsi="Calibri"/>
                <w:sz w:val="22"/>
                <w:szCs w:val="22"/>
                <w:lang w:val="en-US"/>
              </w:rPr>
              <w:t>support</w:t>
            </w:r>
            <w:r w:rsidR="00645B54" w:rsidRPr="00B83B2B">
              <w:rPr>
                <w:rFonts w:ascii="Calibri" w:hAnsi="Calibri"/>
                <w:sz w:val="22"/>
                <w:szCs w:val="22"/>
                <w:lang w:val="en-US"/>
              </w:rPr>
              <w:t xml:space="preserve"> increased revenue generation and better management of fiscal risks</w:t>
            </w:r>
            <w:r w:rsidRPr="00B83B2B">
              <w:rPr>
                <w:rFonts w:ascii="Calibri" w:hAnsi="Calibri"/>
                <w:sz w:val="22"/>
                <w:szCs w:val="22"/>
                <w:lang w:val="en-US"/>
              </w:rPr>
              <w:t xml:space="preserve">. </w:t>
            </w:r>
          </w:p>
          <w:p w:rsidR="00F73842" w:rsidRPr="00B83B2B" w:rsidRDefault="00F73842" w:rsidP="00E13040">
            <w:pPr>
              <w:rPr>
                <w:rFonts w:ascii="Calibri" w:hAnsi="Calibri"/>
                <w:b/>
                <w:lang w:val="en-US"/>
              </w:rPr>
            </w:pPr>
            <w:r w:rsidRPr="00B83B2B">
              <w:rPr>
                <w:rFonts w:ascii="Calibri" w:hAnsi="Calibri"/>
                <w:b/>
                <w:sz w:val="22"/>
                <w:szCs w:val="22"/>
                <w:lang w:val="en-US"/>
              </w:rPr>
              <w:t>(c) Debt Sustainability &amp; Fiscal Risk</w:t>
            </w:r>
          </w:p>
          <w:p w:rsidR="00F73842" w:rsidRPr="00B83B2B" w:rsidRDefault="00F73842" w:rsidP="00E13040">
            <w:pPr>
              <w:ind w:left="360"/>
              <w:rPr>
                <w:rFonts w:ascii="Calibri" w:hAnsi="Calibri"/>
                <w:lang w:val="en-US"/>
              </w:rPr>
            </w:pPr>
            <w:r w:rsidRPr="00B83B2B">
              <w:rPr>
                <w:rFonts w:ascii="Calibri" w:hAnsi="Calibri"/>
                <w:sz w:val="22"/>
                <w:szCs w:val="22"/>
                <w:lang w:val="en-US"/>
              </w:rPr>
              <w:t>(1) The institutional set up of the Debt Management Office is still pending. It is of high importance to finalize the institutional set-up and to approve staff.</w:t>
            </w:r>
          </w:p>
          <w:p w:rsidR="00F73842" w:rsidRPr="00857C0A" w:rsidRDefault="00F73842" w:rsidP="00E13040">
            <w:pPr>
              <w:ind w:left="360"/>
              <w:rPr>
                <w:sz w:val="20"/>
                <w:szCs w:val="20"/>
                <w:lang w:val="en-US"/>
              </w:rPr>
            </w:pPr>
            <w:r w:rsidRPr="00B83B2B">
              <w:rPr>
                <w:rFonts w:ascii="Calibri" w:hAnsi="Calibri"/>
                <w:sz w:val="22"/>
                <w:szCs w:val="22"/>
                <w:lang w:val="en-US"/>
              </w:rPr>
              <w:t>(2) Strengthening of the Treasury Registrar is critical to improve monitoring the fiscal risk posed by PA</w:t>
            </w:r>
            <w:r w:rsidRPr="00B83B2B">
              <w:rPr>
                <w:rFonts w:ascii="Calibri" w:hAnsi="Calibri"/>
                <w:sz w:val="22"/>
                <w:szCs w:val="22"/>
                <w:lang w:val="en-US"/>
              </w:rPr>
              <w:t>&amp;OBs.</w:t>
            </w:r>
            <w:r w:rsidRPr="00B3601E">
              <w:rPr>
                <w:rFonts w:ascii="Calibri" w:hAnsi="Calibri"/>
                <w:sz w:val="22"/>
                <w:szCs w:val="22"/>
                <w:lang w:val="en-US"/>
              </w:rPr>
              <w:t xml:space="preserve"> </w:t>
            </w:r>
          </w:p>
        </w:tc>
      </w:tr>
      <w:tr w:rsidR="00CA2D2C" w:rsidRPr="00CA2D2C" w:rsidTr="00906EC7">
        <w:tc>
          <w:tcPr>
            <w:tcW w:w="15920" w:type="dxa"/>
            <w:gridSpan w:val="3"/>
          </w:tcPr>
          <w:p w:rsidR="00CA2D2C" w:rsidRPr="00CA2D2C" w:rsidRDefault="00CA2D2C" w:rsidP="00CA2D2C">
            <w:pPr>
              <w:rPr>
                <w:rFonts w:ascii="Calibri" w:hAnsi="Calibri"/>
                <w:b/>
              </w:rPr>
            </w:pPr>
            <w:r w:rsidRPr="00CA2D2C">
              <w:rPr>
                <w:rFonts w:ascii="Calibri" w:hAnsi="Calibri"/>
                <w:b/>
                <w:sz w:val="22"/>
                <w:szCs w:val="22"/>
              </w:rPr>
              <w:t>Conclusions:</w:t>
            </w:r>
          </w:p>
          <w:p w:rsidR="00CA2D2C" w:rsidRPr="005551D4" w:rsidRDefault="00CA2D2C" w:rsidP="00CA2D2C">
            <w:pPr>
              <w:rPr>
                <w:rFonts w:ascii="Calibri" w:hAnsi="Calibri"/>
                <w:sz w:val="20"/>
                <w:szCs w:val="20"/>
              </w:rPr>
            </w:pPr>
          </w:p>
          <w:p w:rsidR="00CA2D2C" w:rsidRPr="00CA2D2C" w:rsidRDefault="00CA2D2C" w:rsidP="00CA2D2C">
            <w:pPr>
              <w:rPr>
                <w:rFonts w:ascii="Calibri" w:hAnsi="Calibri"/>
              </w:rPr>
            </w:pPr>
            <w:r w:rsidRPr="00CA2D2C">
              <w:rPr>
                <w:rFonts w:ascii="Calibri" w:hAnsi="Calibri"/>
                <w:sz w:val="22"/>
                <w:szCs w:val="22"/>
              </w:rPr>
              <w:t>The overall picture remains positive. It is evident that the budgeting and public financial management systems are continually being strengthened.</w:t>
            </w:r>
          </w:p>
          <w:p w:rsidR="00CA2D2C" w:rsidRPr="00CA2D2C" w:rsidRDefault="00CA2D2C" w:rsidP="00CA2D2C">
            <w:pPr>
              <w:rPr>
                <w:rFonts w:ascii="Calibri" w:hAnsi="Calibri"/>
              </w:rPr>
            </w:pPr>
            <w:r w:rsidRPr="00CA2D2C">
              <w:rPr>
                <w:rFonts w:ascii="Calibri" w:hAnsi="Calibri"/>
                <w:sz w:val="22"/>
                <w:szCs w:val="22"/>
              </w:rPr>
              <w:t>Several improvements are noted in the PEFA 2013 report.  Aspects that have improved include:</w:t>
            </w:r>
          </w:p>
          <w:p w:rsidR="00CA2D2C" w:rsidRPr="00CA2D2C" w:rsidRDefault="00CA2D2C" w:rsidP="00CA2D2C">
            <w:pPr>
              <w:numPr>
                <w:ilvl w:val="0"/>
                <w:numId w:val="7"/>
              </w:numPr>
              <w:rPr>
                <w:rFonts w:ascii="Calibri" w:hAnsi="Calibri"/>
              </w:rPr>
            </w:pPr>
            <w:r w:rsidRPr="00CA2D2C">
              <w:rPr>
                <w:rFonts w:ascii="Calibri" w:hAnsi="Calibri"/>
                <w:sz w:val="22"/>
                <w:szCs w:val="22"/>
              </w:rPr>
              <w:t xml:space="preserve">Effectiveness of internal audit, </w:t>
            </w:r>
          </w:p>
          <w:p w:rsidR="00CA2D2C" w:rsidRPr="00CA2D2C" w:rsidRDefault="00CA2D2C" w:rsidP="00CA2D2C">
            <w:pPr>
              <w:numPr>
                <w:ilvl w:val="0"/>
                <w:numId w:val="7"/>
              </w:numPr>
              <w:rPr>
                <w:rFonts w:ascii="Calibri" w:hAnsi="Calibri"/>
              </w:rPr>
            </w:pPr>
            <w:r w:rsidRPr="00CA2D2C">
              <w:rPr>
                <w:rFonts w:ascii="Calibri" w:hAnsi="Calibri"/>
                <w:sz w:val="22"/>
                <w:szCs w:val="22"/>
              </w:rPr>
              <w:t xml:space="preserve">Effectiveness of payroll control, </w:t>
            </w:r>
          </w:p>
          <w:p w:rsidR="00CA2D2C" w:rsidRPr="00CA2D2C" w:rsidRDefault="00CA2D2C" w:rsidP="00CA2D2C">
            <w:pPr>
              <w:numPr>
                <w:ilvl w:val="0"/>
                <w:numId w:val="7"/>
              </w:numPr>
              <w:rPr>
                <w:rFonts w:ascii="Calibri" w:hAnsi="Calibri"/>
              </w:rPr>
            </w:pPr>
            <w:r w:rsidRPr="00CA2D2C">
              <w:rPr>
                <w:rFonts w:ascii="Calibri" w:hAnsi="Calibri"/>
                <w:sz w:val="22"/>
                <w:szCs w:val="22"/>
              </w:rPr>
              <w:t xml:space="preserve">Annual budget process and </w:t>
            </w:r>
          </w:p>
          <w:p w:rsidR="00CA2D2C" w:rsidRPr="00CA2D2C" w:rsidRDefault="00CA2D2C" w:rsidP="00CA2D2C">
            <w:pPr>
              <w:numPr>
                <w:ilvl w:val="0"/>
                <w:numId w:val="7"/>
              </w:numPr>
              <w:rPr>
                <w:rFonts w:ascii="Calibri" w:hAnsi="Calibri"/>
              </w:rPr>
            </w:pPr>
            <w:r w:rsidRPr="00CA2D2C">
              <w:rPr>
                <w:rFonts w:ascii="Calibri" w:hAnsi="Calibri"/>
                <w:sz w:val="22"/>
                <w:szCs w:val="22"/>
              </w:rPr>
              <w:t>Procurement oversight and external audit.</w:t>
            </w:r>
          </w:p>
          <w:p w:rsidR="00CA2D2C" w:rsidRPr="005551D4" w:rsidRDefault="00CA2D2C" w:rsidP="00CA2D2C">
            <w:pPr>
              <w:ind w:left="720"/>
              <w:rPr>
                <w:rFonts w:ascii="Calibri" w:hAnsi="Calibri"/>
                <w:sz w:val="20"/>
                <w:szCs w:val="20"/>
              </w:rPr>
            </w:pPr>
          </w:p>
          <w:p w:rsidR="00CA2D2C" w:rsidRPr="00CA2D2C" w:rsidRDefault="00CA2D2C" w:rsidP="00CA2D2C">
            <w:pPr>
              <w:rPr>
                <w:rFonts w:ascii="Calibri" w:hAnsi="Calibri"/>
              </w:rPr>
            </w:pPr>
            <w:r w:rsidRPr="00CA2D2C">
              <w:rPr>
                <w:rFonts w:ascii="Calibri" w:hAnsi="Calibri"/>
                <w:sz w:val="22"/>
                <w:szCs w:val="22"/>
              </w:rPr>
              <w:t>As noted by the PEFA report, there are multiple PFM weaknesses which contribute towards the lack of budget credibility. These include weaknesses in the budget preparation system (over-budgeting in the development budget, under-budgeting in some areas of recurrent expenditure) and the budget execution system (cash rationing due to resource uncertainty, lack of commitment controls). As a result expenditure arrears have been accumulating, which are paid out of budgets in following years at the expense of planned service delivery. The following issues, which all impact directly on the credibility of the budget, require special attention:</w:t>
            </w:r>
          </w:p>
          <w:p w:rsidR="00CA2D2C" w:rsidRPr="00CA2D2C" w:rsidRDefault="00CA2D2C" w:rsidP="00CA2D2C">
            <w:pPr>
              <w:numPr>
                <w:ilvl w:val="0"/>
                <w:numId w:val="7"/>
              </w:numPr>
              <w:rPr>
                <w:rFonts w:ascii="Calibri" w:hAnsi="Calibri"/>
              </w:rPr>
            </w:pPr>
            <w:r w:rsidRPr="00CA2D2C">
              <w:rPr>
                <w:rFonts w:ascii="Calibri" w:hAnsi="Calibri"/>
                <w:sz w:val="22"/>
                <w:szCs w:val="22"/>
              </w:rPr>
              <w:t>Weaknesses in cash flow management and payment arrears,</w:t>
            </w:r>
          </w:p>
          <w:p w:rsidR="00CA2D2C" w:rsidRPr="00CA2D2C" w:rsidRDefault="00CA2D2C" w:rsidP="00CA2D2C">
            <w:pPr>
              <w:numPr>
                <w:ilvl w:val="0"/>
                <w:numId w:val="7"/>
              </w:numPr>
              <w:rPr>
                <w:rFonts w:ascii="Calibri" w:hAnsi="Calibri"/>
              </w:rPr>
            </w:pPr>
            <w:r w:rsidRPr="00CA2D2C">
              <w:rPr>
                <w:rFonts w:ascii="Calibri" w:hAnsi="Calibri"/>
                <w:sz w:val="22"/>
                <w:szCs w:val="22"/>
              </w:rPr>
              <w:t>Weaknesses in  and non-compliance with internal control systems,</w:t>
            </w:r>
          </w:p>
          <w:p w:rsidR="00CA2D2C" w:rsidRPr="00CA2D2C" w:rsidRDefault="00CA2D2C" w:rsidP="00CA2D2C">
            <w:pPr>
              <w:numPr>
                <w:ilvl w:val="0"/>
                <w:numId w:val="7"/>
              </w:numPr>
              <w:rPr>
                <w:rFonts w:ascii="Calibri" w:hAnsi="Calibri"/>
              </w:rPr>
            </w:pPr>
            <w:r w:rsidRPr="00CA2D2C">
              <w:rPr>
                <w:rFonts w:ascii="Calibri" w:hAnsi="Calibri"/>
                <w:sz w:val="22"/>
                <w:szCs w:val="22"/>
              </w:rPr>
              <w:t>Fiscal risks posed by Public Authorities and Other Bodies (PA &amp;OB).</w:t>
            </w:r>
            <w:r w:rsidR="00E50B8D">
              <w:rPr>
                <w:rFonts w:ascii="Calibri" w:hAnsi="Calibri"/>
                <w:sz w:val="22"/>
                <w:szCs w:val="22"/>
              </w:rPr>
              <w:br/>
            </w:r>
          </w:p>
          <w:p w:rsidR="00CA2D2C" w:rsidRPr="00CA2D2C" w:rsidRDefault="00CA2D2C" w:rsidP="00CA2D2C">
            <w:pPr>
              <w:rPr>
                <w:rFonts w:ascii="Calibri" w:hAnsi="Calibri"/>
              </w:rPr>
            </w:pPr>
            <w:r w:rsidRPr="00CA2D2C">
              <w:rPr>
                <w:rFonts w:ascii="Calibri" w:hAnsi="Calibri"/>
                <w:sz w:val="22"/>
                <w:szCs w:val="22"/>
              </w:rPr>
              <w:t xml:space="preserve">The pace of improvement may not be quick. PFM reforms are complex and influenced by manifold factors, some of them outside the control of the Ministry of Finance (MoF), such as political pressure on the executive in regard to budget preparation and execution and heavy bureaucracy in the Tanzanian administration, i.e. legislative procedure, adoption of regulations. It is clear that the PFM systems continue to be strengthened albeit slowly, and that the Government shows strong leadership in addressing weaknesses highlighted in the PEFA </w:t>
            </w:r>
            <w:proofErr w:type="gramStart"/>
            <w:r w:rsidRPr="00CA2D2C">
              <w:rPr>
                <w:rFonts w:ascii="Calibri" w:hAnsi="Calibri"/>
                <w:sz w:val="22"/>
                <w:szCs w:val="22"/>
              </w:rPr>
              <w:t>2013 .</w:t>
            </w:r>
            <w:proofErr w:type="gramEnd"/>
          </w:p>
        </w:tc>
      </w:tr>
    </w:tbl>
    <w:p w:rsidR="0040532B" w:rsidRDefault="0040532B" w:rsidP="0040532B">
      <w:pPr>
        <w:rPr>
          <w:rFonts w:asciiTheme="minorHAnsi" w:hAnsiTheme="minorHAnsi"/>
          <w:b/>
          <w:noProof/>
          <w:sz w:val="32"/>
          <w:szCs w:val="32"/>
          <w:u w:val="single"/>
          <w:lang w:eastAsia="en-GB"/>
        </w:rPr>
      </w:pPr>
      <w:r w:rsidRPr="002D0C18">
        <w:rPr>
          <w:rFonts w:asciiTheme="minorHAnsi" w:hAnsiTheme="minorHAnsi"/>
          <w:b/>
          <w:noProof/>
          <w:sz w:val="32"/>
          <w:szCs w:val="32"/>
          <w:u w:val="single"/>
          <w:lang w:eastAsia="en-GB"/>
        </w:rPr>
        <w:lastRenderedPageBreak/>
        <w:t>Underlying Principle 4</w:t>
      </w:r>
    </w:p>
    <w:p w:rsidR="0040532B" w:rsidRPr="002D0C18" w:rsidRDefault="0040532B" w:rsidP="0040532B">
      <w:pPr>
        <w:rPr>
          <w:rFonts w:asciiTheme="minorHAnsi" w:hAnsiTheme="minorHAnsi"/>
          <w:b/>
          <w:noProof/>
          <w:sz w:val="32"/>
          <w:szCs w:val="32"/>
          <w:u w:val="single"/>
          <w:lang w:eastAsia="en-G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9923"/>
      </w:tblGrid>
      <w:tr w:rsidR="0040532B" w:rsidRPr="00F91EC4" w:rsidTr="00DC5F7F">
        <w:trPr>
          <w:trHeight w:val="269"/>
        </w:trPr>
        <w:tc>
          <w:tcPr>
            <w:tcW w:w="3652" w:type="dxa"/>
            <w:vMerge w:val="restart"/>
            <w:shd w:val="clear" w:color="auto" w:fill="BFBFBF"/>
            <w:vAlign w:val="center"/>
          </w:tcPr>
          <w:p w:rsidR="0040532B" w:rsidRPr="00F91EC4" w:rsidRDefault="0040532B" w:rsidP="00857C0A">
            <w:pPr>
              <w:jc w:val="center"/>
              <w:rPr>
                <w:rFonts w:asciiTheme="minorHAnsi" w:hAnsiTheme="minorHAnsi"/>
                <w:b/>
                <w:sz w:val="22"/>
                <w:szCs w:val="22"/>
                <w:u w:val="single"/>
              </w:rPr>
            </w:pPr>
          </w:p>
        </w:tc>
        <w:tc>
          <w:tcPr>
            <w:tcW w:w="2268" w:type="dxa"/>
            <w:gridSpan w:val="2"/>
            <w:vMerge w:val="restart"/>
            <w:shd w:val="clear" w:color="auto" w:fill="BFBFBF"/>
            <w:vAlign w:val="center"/>
          </w:tcPr>
          <w:p w:rsidR="0040532B" w:rsidRPr="00F91EC4" w:rsidRDefault="0040532B" w:rsidP="00857C0A">
            <w:pPr>
              <w:jc w:val="center"/>
              <w:rPr>
                <w:rFonts w:asciiTheme="minorHAnsi" w:hAnsiTheme="minorHAnsi"/>
                <w:b/>
                <w:sz w:val="22"/>
                <w:szCs w:val="22"/>
                <w:u w:val="single"/>
              </w:rPr>
            </w:pPr>
            <w:r w:rsidRPr="00F91EC4">
              <w:rPr>
                <w:rFonts w:asciiTheme="minorHAnsi" w:hAnsiTheme="minorHAnsi"/>
                <w:b/>
                <w:sz w:val="22"/>
                <w:szCs w:val="22"/>
                <w:u w:val="single"/>
              </w:rPr>
              <w:t>Summary Assessment</w:t>
            </w:r>
          </w:p>
        </w:tc>
        <w:tc>
          <w:tcPr>
            <w:tcW w:w="9923" w:type="dxa"/>
            <w:vMerge w:val="restart"/>
            <w:shd w:val="clear" w:color="auto" w:fill="BFBFBF"/>
            <w:vAlign w:val="center"/>
          </w:tcPr>
          <w:p w:rsidR="0040532B" w:rsidRPr="00F91EC4" w:rsidRDefault="0040532B" w:rsidP="00857C0A">
            <w:pPr>
              <w:jc w:val="center"/>
              <w:rPr>
                <w:rFonts w:asciiTheme="minorHAnsi" w:hAnsiTheme="minorHAnsi"/>
                <w:b/>
                <w:sz w:val="22"/>
                <w:szCs w:val="22"/>
                <w:u w:val="single"/>
              </w:rPr>
            </w:pPr>
            <w:r w:rsidRPr="00F91EC4">
              <w:rPr>
                <w:rFonts w:asciiTheme="minorHAnsi" w:hAnsiTheme="minorHAnsi"/>
                <w:b/>
                <w:sz w:val="22"/>
                <w:szCs w:val="22"/>
                <w:u w:val="single"/>
              </w:rPr>
              <w:t>Key Concerns to Raise in Dialogue</w:t>
            </w:r>
          </w:p>
        </w:tc>
      </w:tr>
      <w:tr w:rsidR="0040532B" w:rsidRPr="0060011E" w:rsidTr="00DC5F7F">
        <w:trPr>
          <w:trHeight w:val="269"/>
        </w:trPr>
        <w:tc>
          <w:tcPr>
            <w:tcW w:w="3652" w:type="dxa"/>
            <w:vMerge/>
            <w:shd w:val="clear" w:color="auto" w:fill="BFBFBF"/>
          </w:tcPr>
          <w:p w:rsidR="0040532B" w:rsidRPr="0060011E" w:rsidRDefault="0040532B" w:rsidP="00857C0A">
            <w:pPr>
              <w:jc w:val="center"/>
              <w:rPr>
                <w:rFonts w:asciiTheme="minorHAnsi" w:hAnsiTheme="minorHAnsi"/>
                <w:b/>
                <w:sz w:val="22"/>
                <w:szCs w:val="22"/>
              </w:rPr>
            </w:pPr>
          </w:p>
        </w:tc>
        <w:tc>
          <w:tcPr>
            <w:tcW w:w="2268" w:type="dxa"/>
            <w:gridSpan w:val="2"/>
            <w:vMerge/>
            <w:shd w:val="clear" w:color="auto" w:fill="BFBFBF"/>
          </w:tcPr>
          <w:p w:rsidR="0040532B" w:rsidRPr="0060011E" w:rsidRDefault="0040532B" w:rsidP="00857C0A">
            <w:pPr>
              <w:jc w:val="center"/>
              <w:rPr>
                <w:rFonts w:asciiTheme="minorHAnsi" w:hAnsiTheme="minorHAnsi"/>
                <w:b/>
                <w:sz w:val="22"/>
                <w:szCs w:val="22"/>
              </w:rPr>
            </w:pPr>
          </w:p>
        </w:tc>
        <w:tc>
          <w:tcPr>
            <w:tcW w:w="9923" w:type="dxa"/>
            <w:vMerge/>
            <w:shd w:val="clear" w:color="auto" w:fill="BFBFBF"/>
          </w:tcPr>
          <w:p w:rsidR="0040532B" w:rsidRPr="0060011E" w:rsidRDefault="0040532B" w:rsidP="00857C0A">
            <w:pPr>
              <w:jc w:val="center"/>
              <w:rPr>
                <w:rFonts w:asciiTheme="minorHAnsi" w:hAnsiTheme="minorHAnsi"/>
                <w:b/>
                <w:sz w:val="22"/>
                <w:szCs w:val="22"/>
              </w:rPr>
            </w:pPr>
          </w:p>
        </w:tc>
      </w:tr>
      <w:tr w:rsidR="0040532B" w:rsidRPr="0060011E" w:rsidTr="00DC5F7F">
        <w:tc>
          <w:tcPr>
            <w:tcW w:w="3652" w:type="dxa"/>
            <w:shd w:val="clear" w:color="auto" w:fill="D9D9D9"/>
          </w:tcPr>
          <w:p w:rsidR="00DC5F7F" w:rsidRDefault="00DC5F7F" w:rsidP="00857C0A">
            <w:pPr>
              <w:rPr>
                <w:rFonts w:asciiTheme="minorHAnsi" w:hAnsiTheme="minorHAnsi"/>
                <w:b/>
                <w:sz w:val="22"/>
                <w:szCs w:val="22"/>
              </w:rPr>
            </w:pPr>
          </w:p>
          <w:p w:rsidR="0040532B" w:rsidRPr="0060011E" w:rsidRDefault="0040532B" w:rsidP="00857C0A">
            <w:pPr>
              <w:rPr>
                <w:rFonts w:asciiTheme="minorHAnsi" w:hAnsiTheme="minorHAnsi"/>
                <w:b/>
                <w:sz w:val="22"/>
                <w:szCs w:val="22"/>
              </w:rPr>
            </w:pPr>
            <w:r w:rsidRPr="0060011E">
              <w:rPr>
                <w:rFonts w:asciiTheme="minorHAnsi" w:hAnsiTheme="minorHAnsi"/>
                <w:b/>
                <w:sz w:val="22"/>
                <w:szCs w:val="22"/>
              </w:rPr>
              <w:t xml:space="preserve">Continuing peace and respect for human rights, the rule of law, democratic </w:t>
            </w:r>
            <w:proofErr w:type="spellStart"/>
            <w:r w:rsidRPr="0060011E">
              <w:rPr>
                <w:rFonts w:asciiTheme="minorHAnsi" w:hAnsiTheme="minorHAnsi"/>
                <w:b/>
                <w:sz w:val="22"/>
                <w:szCs w:val="22"/>
              </w:rPr>
              <w:t>principles,and</w:t>
            </w:r>
            <w:proofErr w:type="spellEnd"/>
            <w:r w:rsidRPr="0060011E">
              <w:rPr>
                <w:rFonts w:asciiTheme="minorHAnsi" w:hAnsiTheme="minorHAnsi"/>
                <w:b/>
                <w:sz w:val="22"/>
                <w:szCs w:val="22"/>
              </w:rPr>
              <w:t xml:space="preserve"> the independence of the judiciary</w:t>
            </w:r>
          </w:p>
        </w:tc>
        <w:tc>
          <w:tcPr>
            <w:tcW w:w="1134" w:type="dxa"/>
            <w:shd w:val="clear" w:color="auto" w:fill="92D050"/>
          </w:tcPr>
          <w:p w:rsidR="00DC5F7F" w:rsidRDefault="00DC5F7F" w:rsidP="00857C0A">
            <w:pPr>
              <w:jc w:val="center"/>
              <w:rPr>
                <w:rFonts w:asciiTheme="minorHAnsi" w:hAnsiTheme="minorHAnsi"/>
                <w:sz w:val="22"/>
                <w:szCs w:val="22"/>
              </w:rPr>
            </w:pPr>
          </w:p>
          <w:p w:rsidR="0040532B" w:rsidRPr="0060011E" w:rsidRDefault="0040532B" w:rsidP="00857C0A">
            <w:pPr>
              <w:jc w:val="center"/>
              <w:rPr>
                <w:rFonts w:asciiTheme="minorHAnsi" w:hAnsiTheme="minorHAnsi"/>
                <w:sz w:val="22"/>
                <w:szCs w:val="22"/>
              </w:rPr>
            </w:pPr>
            <w:r w:rsidRPr="0060011E">
              <w:rPr>
                <w:rFonts w:asciiTheme="minorHAnsi" w:hAnsiTheme="minorHAnsi"/>
                <w:sz w:val="22"/>
                <w:szCs w:val="22"/>
              </w:rPr>
              <w:t>Green</w:t>
            </w:r>
          </w:p>
        </w:tc>
        <w:tc>
          <w:tcPr>
            <w:tcW w:w="1134" w:type="dxa"/>
            <w:shd w:val="clear" w:color="auto" w:fill="FFC000"/>
          </w:tcPr>
          <w:p w:rsidR="00DC5F7F" w:rsidRDefault="00DC5F7F" w:rsidP="00857C0A">
            <w:pPr>
              <w:jc w:val="center"/>
              <w:rPr>
                <w:rFonts w:asciiTheme="minorHAnsi" w:hAnsiTheme="minorHAnsi"/>
                <w:sz w:val="22"/>
                <w:szCs w:val="22"/>
              </w:rPr>
            </w:pPr>
          </w:p>
          <w:p w:rsidR="0040532B" w:rsidRPr="0060011E" w:rsidRDefault="0040532B" w:rsidP="00857C0A">
            <w:pPr>
              <w:jc w:val="center"/>
              <w:rPr>
                <w:rFonts w:asciiTheme="minorHAnsi" w:hAnsiTheme="minorHAnsi"/>
                <w:sz w:val="22"/>
                <w:szCs w:val="22"/>
              </w:rPr>
            </w:pPr>
            <w:r w:rsidRPr="0060011E">
              <w:rPr>
                <w:rFonts w:asciiTheme="minorHAnsi" w:hAnsiTheme="minorHAnsi"/>
                <w:sz w:val="22"/>
                <w:szCs w:val="22"/>
              </w:rPr>
              <w:t>Orange</w:t>
            </w:r>
          </w:p>
        </w:tc>
        <w:tc>
          <w:tcPr>
            <w:tcW w:w="9923" w:type="dxa"/>
          </w:tcPr>
          <w:p w:rsidR="0040532B" w:rsidRPr="00E7629B" w:rsidRDefault="0040532B" w:rsidP="00857C0A">
            <w:pPr>
              <w:pStyle w:val="ListParagraph"/>
              <w:numPr>
                <w:ilvl w:val="0"/>
                <w:numId w:val="12"/>
              </w:numPr>
              <w:rPr>
                <w:rFonts w:asciiTheme="minorHAnsi" w:hAnsiTheme="minorHAnsi"/>
                <w:sz w:val="22"/>
                <w:szCs w:val="22"/>
              </w:rPr>
            </w:pPr>
            <w:r w:rsidRPr="00E7629B">
              <w:rPr>
                <w:rFonts w:asciiTheme="minorHAnsi" w:hAnsiTheme="minorHAnsi"/>
                <w:sz w:val="22"/>
                <w:szCs w:val="22"/>
              </w:rPr>
              <w:t xml:space="preserve">Need to advance progressive legislative reforms, e.g. Media Services Bill; </w:t>
            </w:r>
            <w:proofErr w:type="spellStart"/>
            <w:r w:rsidRPr="00E7629B">
              <w:rPr>
                <w:rFonts w:asciiTheme="minorHAnsi" w:hAnsiTheme="minorHAnsi"/>
                <w:sz w:val="22"/>
                <w:szCs w:val="22"/>
              </w:rPr>
              <w:t>FoI</w:t>
            </w:r>
            <w:proofErr w:type="spellEnd"/>
            <w:r w:rsidRPr="00E7629B">
              <w:rPr>
                <w:rFonts w:asciiTheme="minorHAnsi" w:hAnsiTheme="minorHAnsi"/>
                <w:sz w:val="22"/>
                <w:szCs w:val="22"/>
              </w:rPr>
              <w:t xml:space="preserve"> Legislation and Public Leadership Code of Ethics legislation. Free and independent media should be properly regulated but also protected by appropriate legislation.</w:t>
            </w:r>
          </w:p>
          <w:p w:rsidR="0040532B" w:rsidRPr="006F4828" w:rsidRDefault="0040532B" w:rsidP="00857C0A">
            <w:pPr>
              <w:pStyle w:val="ListParagraph"/>
              <w:numPr>
                <w:ilvl w:val="0"/>
                <w:numId w:val="12"/>
              </w:numPr>
              <w:rPr>
                <w:rFonts w:asciiTheme="minorHAnsi" w:hAnsiTheme="minorHAnsi"/>
                <w:b/>
                <w:sz w:val="22"/>
                <w:szCs w:val="22"/>
              </w:rPr>
            </w:pPr>
            <w:r w:rsidRPr="006F4828">
              <w:rPr>
                <w:rFonts w:asciiTheme="minorHAnsi" w:hAnsiTheme="minorHAnsi"/>
                <w:sz w:val="22"/>
                <w:szCs w:val="22"/>
              </w:rPr>
              <w:t>Important to set out plans, prioritisation and progress for implementation of accepted UPR recommendations and to other main HR committees (CESCR, CCPR, CRC, CEDAW) and to Government commitment to consider ratification of the CAT.</w:t>
            </w:r>
          </w:p>
          <w:p w:rsidR="0040532B" w:rsidRDefault="0040532B" w:rsidP="00857C0A">
            <w:pPr>
              <w:pStyle w:val="ListParagraph"/>
              <w:numPr>
                <w:ilvl w:val="0"/>
                <w:numId w:val="12"/>
              </w:numPr>
              <w:rPr>
                <w:rFonts w:asciiTheme="minorHAnsi" w:hAnsiTheme="minorHAnsi"/>
                <w:sz w:val="22"/>
                <w:szCs w:val="22"/>
              </w:rPr>
            </w:pPr>
            <w:r>
              <w:rPr>
                <w:rFonts w:asciiTheme="minorHAnsi" w:hAnsiTheme="minorHAnsi"/>
                <w:sz w:val="22"/>
                <w:szCs w:val="22"/>
              </w:rPr>
              <w:t>A</w:t>
            </w:r>
            <w:r w:rsidRPr="006F4828">
              <w:rPr>
                <w:rFonts w:asciiTheme="minorHAnsi" w:hAnsiTheme="minorHAnsi"/>
                <w:sz w:val="22"/>
                <w:szCs w:val="22"/>
              </w:rPr>
              <w:t>ction is required to increase the transparency and security of land tenure. Current weaknesses inhibit land rights which increase the potential for conflicts, can be an investment disincentive and be of risk for sustainable use of natural resources.</w:t>
            </w:r>
          </w:p>
          <w:p w:rsidR="0040532B" w:rsidRPr="0060011E" w:rsidRDefault="0040532B" w:rsidP="00857C0A">
            <w:pPr>
              <w:pStyle w:val="ListParagraph"/>
              <w:numPr>
                <w:ilvl w:val="0"/>
                <w:numId w:val="12"/>
              </w:numPr>
              <w:rPr>
                <w:rFonts w:asciiTheme="minorHAnsi" w:hAnsiTheme="minorHAnsi"/>
                <w:sz w:val="22"/>
                <w:szCs w:val="22"/>
              </w:rPr>
            </w:pPr>
            <w:r>
              <w:rPr>
                <w:rFonts w:asciiTheme="minorHAnsi" w:hAnsiTheme="minorHAnsi"/>
                <w:sz w:val="22"/>
                <w:szCs w:val="22"/>
              </w:rPr>
              <w:t xml:space="preserve">Paramount to ensure the effectiveness of the election management bodies (NEC, ZEC, </w:t>
            </w:r>
            <w:proofErr w:type="gramStart"/>
            <w:r>
              <w:rPr>
                <w:rFonts w:asciiTheme="minorHAnsi" w:hAnsiTheme="minorHAnsi"/>
                <w:sz w:val="22"/>
                <w:szCs w:val="22"/>
              </w:rPr>
              <w:t>RPP</w:t>
            </w:r>
            <w:proofErr w:type="gramEnd"/>
            <w:r>
              <w:rPr>
                <w:rFonts w:asciiTheme="minorHAnsi" w:hAnsiTheme="minorHAnsi"/>
                <w:sz w:val="22"/>
                <w:szCs w:val="22"/>
              </w:rPr>
              <w:t>) and the voter registers to ensure a peaceful and credible Constitutional referendum and the 2015 elections.</w:t>
            </w:r>
          </w:p>
        </w:tc>
      </w:tr>
      <w:tr w:rsidR="0040532B" w:rsidRPr="0060011E" w:rsidTr="003B4CEB">
        <w:tc>
          <w:tcPr>
            <w:tcW w:w="15843" w:type="dxa"/>
            <w:gridSpan w:val="4"/>
            <w:shd w:val="clear" w:color="auto" w:fill="FFFFFF" w:themeFill="background1"/>
          </w:tcPr>
          <w:p w:rsidR="0040532B" w:rsidRPr="0060011E" w:rsidRDefault="0040532B" w:rsidP="00857C0A">
            <w:pPr>
              <w:rPr>
                <w:rFonts w:asciiTheme="minorHAnsi" w:hAnsiTheme="minorHAnsi"/>
                <w:b/>
                <w:sz w:val="22"/>
                <w:szCs w:val="22"/>
              </w:rPr>
            </w:pPr>
            <w:r w:rsidRPr="0060011E">
              <w:rPr>
                <w:rFonts w:asciiTheme="minorHAnsi" w:hAnsiTheme="minorHAnsi"/>
                <w:b/>
                <w:sz w:val="22"/>
                <w:szCs w:val="22"/>
              </w:rPr>
              <w:t xml:space="preserve">Conclusions: </w:t>
            </w:r>
          </w:p>
          <w:p w:rsidR="0040532B" w:rsidRPr="00197345" w:rsidRDefault="0040532B" w:rsidP="00857C0A">
            <w:pPr>
              <w:rPr>
                <w:rFonts w:asciiTheme="minorHAnsi" w:hAnsiTheme="minorHAnsi"/>
                <w:sz w:val="16"/>
                <w:szCs w:val="16"/>
              </w:rPr>
            </w:pPr>
          </w:p>
          <w:p w:rsidR="0040532B" w:rsidRPr="0060011E" w:rsidRDefault="0040532B" w:rsidP="00857C0A">
            <w:pPr>
              <w:jc w:val="both"/>
              <w:rPr>
                <w:rFonts w:asciiTheme="minorHAnsi" w:hAnsiTheme="minorHAnsi" w:cs="Arial"/>
                <w:bCs/>
                <w:sz w:val="22"/>
                <w:szCs w:val="22"/>
              </w:rPr>
            </w:pPr>
            <w:r w:rsidRPr="00E454A1">
              <w:rPr>
                <w:rFonts w:asciiTheme="minorHAnsi" w:hAnsiTheme="minorHAnsi" w:cs="Arial"/>
                <w:bCs/>
                <w:sz w:val="22"/>
                <w:szCs w:val="22"/>
                <w:u w:val="single"/>
              </w:rPr>
              <w:t>Peace</w:t>
            </w:r>
            <w:r w:rsidRPr="0060011E">
              <w:rPr>
                <w:rFonts w:asciiTheme="minorHAnsi" w:hAnsiTheme="minorHAnsi" w:cs="Arial"/>
                <w:bCs/>
                <w:sz w:val="22"/>
                <w:szCs w:val="22"/>
              </w:rPr>
              <w:t xml:space="preserve">: </w:t>
            </w:r>
            <w:r w:rsidRPr="0060011E">
              <w:rPr>
                <w:rFonts w:asciiTheme="minorHAnsi" w:hAnsiTheme="minorHAnsi" w:cs="Arial"/>
                <w:sz w:val="22"/>
                <w:szCs w:val="22"/>
              </w:rPr>
              <w:t>Tanzania has overall enjoyed sustained peaceful</w:t>
            </w:r>
            <w:r>
              <w:rPr>
                <w:rFonts w:asciiTheme="minorHAnsi" w:hAnsiTheme="minorHAnsi" w:cs="Arial"/>
                <w:sz w:val="22"/>
                <w:szCs w:val="22"/>
              </w:rPr>
              <w:t xml:space="preserve"> relations with its neighbours</w:t>
            </w:r>
            <w:r w:rsidRPr="0060011E">
              <w:rPr>
                <w:rFonts w:asciiTheme="minorHAnsi" w:hAnsiTheme="minorHAnsi" w:cs="Arial"/>
                <w:sz w:val="22"/>
                <w:szCs w:val="22"/>
              </w:rPr>
              <w:t xml:space="preserve"> and remains a relatively cohesive state despite growing tension</w:t>
            </w:r>
            <w:r w:rsidR="00B83B2B">
              <w:rPr>
                <w:rFonts w:asciiTheme="minorHAnsi" w:hAnsiTheme="minorHAnsi" w:cs="Arial"/>
                <w:sz w:val="22"/>
                <w:szCs w:val="22"/>
              </w:rPr>
              <w:t>s</w:t>
            </w:r>
            <w:r>
              <w:rPr>
                <w:rFonts w:asciiTheme="minorHAnsi" w:hAnsiTheme="minorHAnsi" w:cs="Arial"/>
                <w:sz w:val="22"/>
                <w:szCs w:val="22"/>
              </w:rPr>
              <w:t>,</w:t>
            </w:r>
            <w:r w:rsidR="00B83B2B">
              <w:rPr>
                <w:rFonts w:asciiTheme="minorHAnsi" w:hAnsiTheme="minorHAnsi" w:cs="Arial"/>
                <w:sz w:val="22"/>
                <w:szCs w:val="22"/>
              </w:rPr>
              <w:t xml:space="preserve"> </w:t>
            </w:r>
            <w:r>
              <w:rPr>
                <w:rFonts w:asciiTheme="minorHAnsi" w:hAnsiTheme="minorHAnsi" w:cs="Arial"/>
                <w:sz w:val="22"/>
                <w:szCs w:val="22"/>
              </w:rPr>
              <w:t>either</w:t>
            </w:r>
            <w:r w:rsidR="00B83B2B">
              <w:rPr>
                <w:rFonts w:asciiTheme="minorHAnsi" w:hAnsiTheme="minorHAnsi" w:cs="Arial"/>
                <w:sz w:val="22"/>
                <w:szCs w:val="22"/>
              </w:rPr>
              <w:t xml:space="preserve"> religious in nature </w:t>
            </w:r>
            <w:r>
              <w:rPr>
                <w:rFonts w:asciiTheme="minorHAnsi" w:hAnsiTheme="minorHAnsi" w:cs="Arial"/>
                <w:sz w:val="22"/>
                <w:szCs w:val="22"/>
              </w:rPr>
              <w:t>or under the guise of religion,</w:t>
            </w:r>
            <w:r w:rsidRPr="0060011E">
              <w:rPr>
                <w:rFonts w:asciiTheme="minorHAnsi" w:hAnsiTheme="minorHAnsi" w:cs="Arial"/>
                <w:sz w:val="22"/>
                <w:szCs w:val="22"/>
              </w:rPr>
              <w:t xml:space="preserve"> and increased demand from some on Zanzibar for greater autonomy.</w:t>
            </w:r>
          </w:p>
          <w:p w:rsidR="0040532B" w:rsidRPr="00197345" w:rsidRDefault="0040532B" w:rsidP="00857C0A">
            <w:pPr>
              <w:jc w:val="both"/>
              <w:rPr>
                <w:rFonts w:asciiTheme="minorHAnsi" w:hAnsiTheme="minorHAnsi" w:cs="Arial"/>
                <w:sz w:val="16"/>
                <w:szCs w:val="16"/>
              </w:rPr>
            </w:pPr>
          </w:p>
          <w:p w:rsidR="0040532B" w:rsidRPr="0060011E" w:rsidRDefault="0040532B" w:rsidP="00857C0A">
            <w:pPr>
              <w:jc w:val="both"/>
              <w:rPr>
                <w:rFonts w:asciiTheme="minorHAnsi" w:hAnsiTheme="minorHAnsi" w:cs="Arial"/>
                <w:sz w:val="22"/>
                <w:szCs w:val="22"/>
              </w:rPr>
            </w:pPr>
            <w:r w:rsidRPr="00E454A1">
              <w:rPr>
                <w:rFonts w:asciiTheme="minorHAnsi" w:hAnsiTheme="minorHAnsi" w:cs="Arial"/>
                <w:bCs/>
                <w:sz w:val="22"/>
                <w:szCs w:val="22"/>
                <w:u w:val="single"/>
              </w:rPr>
              <w:t>Human Rights</w:t>
            </w:r>
            <w:r w:rsidRPr="0060011E">
              <w:rPr>
                <w:rFonts w:asciiTheme="minorHAnsi" w:hAnsiTheme="minorHAnsi" w:cs="Arial"/>
                <w:bCs/>
                <w:sz w:val="22"/>
                <w:szCs w:val="22"/>
              </w:rPr>
              <w:t>:</w:t>
            </w:r>
            <w:r w:rsidRPr="0060011E">
              <w:rPr>
                <w:rFonts w:asciiTheme="minorHAnsi" w:hAnsiTheme="minorHAnsi" w:cs="Arial"/>
                <w:sz w:val="22"/>
                <w:szCs w:val="22"/>
              </w:rPr>
              <w:t xml:space="preserve"> Tanzania has a stable human rights record. Fundamental freedoms are enshrined and generally respected but some restrictions are noted</w:t>
            </w:r>
            <w:r>
              <w:rPr>
                <w:rFonts w:asciiTheme="minorHAnsi" w:hAnsiTheme="minorHAnsi" w:cs="Arial"/>
                <w:sz w:val="22"/>
                <w:szCs w:val="22"/>
              </w:rPr>
              <w:t>;</w:t>
            </w:r>
            <w:r w:rsidRPr="0060011E">
              <w:rPr>
                <w:rFonts w:asciiTheme="minorHAnsi" w:hAnsiTheme="minorHAnsi" w:cs="Arial"/>
                <w:sz w:val="22"/>
                <w:szCs w:val="22"/>
              </w:rPr>
              <w:t xml:space="preserve"> some laws discriminate against women. A num</w:t>
            </w:r>
            <w:r>
              <w:rPr>
                <w:rFonts w:asciiTheme="minorHAnsi" w:hAnsiTheme="minorHAnsi" w:cs="Arial"/>
                <w:sz w:val="22"/>
                <w:szCs w:val="22"/>
              </w:rPr>
              <w:t xml:space="preserve">ber of challenges and concerns </w:t>
            </w:r>
            <w:r w:rsidRPr="0060011E">
              <w:rPr>
                <w:rFonts w:asciiTheme="minorHAnsi" w:hAnsiTheme="minorHAnsi" w:cs="Arial"/>
                <w:sz w:val="22"/>
                <w:szCs w:val="22"/>
              </w:rPr>
              <w:t>are however noted:</w:t>
            </w:r>
          </w:p>
          <w:p w:rsidR="0040532B" w:rsidRPr="0060011E" w:rsidRDefault="0040532B" w:rsidP="00857C0A">
            <w:pPr>
              <w:pStyle w:val="ListParagraph"/>
              <w:numPr>
                <w:ilvl w:val="0"/>
                <w:numId w:val="10"/>
              </w:numPr>
              <w:jc w:val="both"/>
              <w:rPr>
                <w:rFonts w:asciiTheme="minorHAnsi" w:hAnsiTheme="minorHAnsi" w:cs="Arial"/>
                <w:sz w:val="22"/>
                <w:szCs w:val="22"/>
              </w:rPr>
            </w:pPr>
            <w:r>
              <w:rPr>
                <w:rFonts w:asciiTheme="minorHAnsi" w:hAnsiTheme="minorHAnsi" w:cs="Arial"/>
                <w:sz w:val="22"/>
                <w:szCs w:val="22"/>
              </w:rPr>
              <w:t>The m</w:t>
            </w:r>
            <w:r w:rsidRPr="0060011E">
              <w:rPr>
                <w:rFonts w:asciiTheme="minorHAnsi" w:hAnsiTheme="minorHAnsi" w:cs="Arial"/>
                <w:sz w:val="22"/>
                <w:szCs w:val="22"/>
              </w:rPr>
              <w:t>ain challenge lies in  practical implementatio</w:t>
            </w:r>
            <w:r>
              <w:rPr>
                <w:rFonts w:asciiTheme="minorHAnsi" w:hAnsiTheme="minorHAnsi" w:cs="Arial"/>
                <w:sz w:val="22"/>
                <w:szCs w:val="22"/>
              </w:rPr>
              <w:t>n of international and domestic</w:t>
            </w:r>
            <w:r w:rsidRPr="0060011E">
              <w:rPr>
                <w:rFonts w:asciiTheme="minorHAnsi" w:hAnsiTheme="minorHAnsi" w:cs="Arial"/>
                <w:sz w:val="22"/>
                <w:szCs w:val="22"/>
              </w:rPr>
              <w:t xml:space="preserve"> human rights commitments;</w:t>
            </w:r>
          </w:p>
          <w:p w:rsidR="0040532B" w:rsidRPr="0060011E" w:rsidRDefault="0040532B" w:rsidP="00857C0A">
            <w:pPr>
              <w:pStyle w:val="ListParagraph"/>
              <w:numPr>
                <w:ilvl w:val="0"/>
                <w:numId w:val="10"/>
              </w:numPr>
              <w:jc w:val="both"/>
              <w:rPr>
                <w:rFonts w:asciiTheme="minorHAnsi" w:hAnsiTheme="minorHAnsi" w:cs="Arial"/>
                <w:sz w:val="22"/>
                <w:szCs w:val="22"/>
              </w:rPr>
            </w:pPr>
            <w:r w:rsidRPr="0060011E">
              <w:rPr>
                <w:rFonts w:asciiTheme="minorHAnsi" w:hAnsiTheme="minorHAnsi" w:cs="Arial"/>
                <w:sz w:val="22"/>
                <w:szCs w:val="22"/>
              </w:rPr>
              <w:t xml:space="preserve">Most pervasive human rights issues relate to status of women and children </w:t>
            </w:r>
            <w:r>
              <w:rPr>
                <w:rFonts w:asciiTheme="minorHAnsi" w:hAnsiTheme="minorHAnsi" w:cs="Arial"/>
                <w:sz w:val="22"/>
                <w:szCs w:val="22"/>
              </w:rPr>
              <w:t>–</w:t>
            </w:r>
            <w:r w:rsidRPr="0060011E">
              <w:rPr>
                <w:rFonts w:asciiTheme="minorHAnsi" w:hAnsiTheme="minorHAnsi" w:cs="Arial"/>
                <w:sz w:val="22"/>
                <w:szCs w:val="22"/>
              </w:rPr>
              <w:t xml:space="preserve"> </w:t>
            </w:r>
            <w:r>
              <w:rPr>
                <w:rFonts w:asciiTheme="minorHAnsi" w:hAnsiTheme="minorHAnsi" w:cs="Arial"/>
                <w:sz w:val="22"/>
                <w:szCs w:val="22"/>
              </w:rPr>
              <w:t>which remains</w:t>
            </w:r>
            <w:r w:rsidRPr="0060011E">
              <w:rPr>
                <w:rFonts w:asciiTheme="minorHAnsi" w:hAnsiTheme="minorHAnsi" w:cs="Arial"/>
                <w:sz w:val="22"/>
                <w:szCs w:val="22"/>
              </w:rPr>
              <w:t xml:space="preserve"> a serious issue</w:t>
            </w:r>
            <w:r>
              <w:rPr>
                <w:rFonts w:asciiTheme="minorHAnsi" w:hAnsiTheme="minorHAnsi" w:cs="Arial"/>
                <w:sz w:val="22"/>
                <w:szCs w:val="22"/>
              </w:rPr>
              <w:t>;</w:t>
            </w:r>
          </w:p>
          <w:p w:rsidR="0040532B" w:rsidRPr="0060011E" w:rsidRDefault="0040532B" w:rsidP="00857C0A">
            <w:pPr>
              <w:pStyle w:val="ListParagraph"/>
              <w:numPr>
                <w:ilvl w:val="0"/>
                <w:numId w:val="10"/>
              </w:numPr>
              <w:jc w:val="both"/>
              <w:rPr>
                <w:rFonts w:asciiTheme="minorHAnsi" w:hAnsiTheme="minorHAnsi" w:cs="Arial"/>
                <w:sz w:val="22"/>
                <w:szCs w:val="22"/>
              </w:rPr>
            </w:pPr>
            <w:r w:rsidRPr="0060011E">
              <w:rPr>
                <w:rFonts w:asciiTheme="minorHAnsi" w:hAnsiTheme="minorHAnsi" w:cs="Arial"/>
                <w:sz w:val="22"/>
                <w:szCs w:val="22"/>
              </w:rPr>
              <w:t>Some restrictions on freedom of assembly and rights of expression and opinion remain</w:t>
            </w:r>
            <w:r>
              <w:rPr>
                <w:rFonts w:asciiTheme="minorHAnsi" w:hAnsiTheme="minorHAnsi" w:cs="Arial"/>
                <w:sz w:val="22"/>
                <w:szCs w:val="22"/>
              </w:rPr>
              <w:t>;</w:t>
            </w:r>
          </w:p>
          <w:p w:rsidR="0040532B" w:rsidRPr="0060011E" w:rsidRDefault="0040532B" w:rsidP="00857C0A">
            <w:pPr>
              <w:pStyle w:val="ListParagraph"/>
              <w:numPr>
                <w:ilvl w:val="0"/>
                <w:numId w:val="10"/>
              </w:numPr>
              <w:jc w:val="both"/>
              <w:rPr>
                <w:rFonts w:asciiTheme="minorHAnsi" w:hAnsiTheme="minorHAnsi" w:cs="Arial"/>
                <w:sz w:val="22"/>
                <w:szCs w:val="22"/>
              </w:rPr>
            </w:pPr>
            <w:r w:rsidRPr="0060011E">
              <w:rPr>
                <w:rFonts w:asciiTheme="minorHAnsi" w:hAnsiTheme="minorHAnsi" w:cs="Arial"/>
                <w:sz w:val="22"/>
                <w:szCs w:val="22"/>
              </w:rPr>
              <w:t>An increase in incidents relating to the treatment of the media and journalists</w:t>
            </w:r>
            <w:r>
              <w:rPr>
                <w:rFonts w:asciiTheme="minorHAnsi" w:hAnsiTheme="minorHAnsi" w:cs="Arial"/>
                <w:sz w:val="22"/>
                <w:szCs w:val="22"/>
              </w:rPr>
              <w:t xml:space="preserve"> has been observed</w:t>
            </w:r>
            <w:r w:rsidRPr="0060011E">
              <w:rPr>
                <w:rFonts w:asciiTheme="minorHAnsi" w:hAnsiTheme="minorHAnsi" w:cs="Arial"/>
                <w:sz w:val="22"/>
                <w:szCs w:val="22"/>
              </w:rPr>
              <w:t>;</w:t>
            </w:r>
          </w:p>
          <w:p w:rsidR="0040532B" w:rsidRDefault="0040532B" w:rsidP="00857C0A">
            <w:pPr>
              <w:pStyle w:val="ListParagraph"/>
              <w:numPr>
                <w:ilvl w:val="0"/>
                <w:numId w:val="10"/>
              </w:numPr>
              <w:jc w:val="both"/>
              <w:rPr>
                <w:rFonts w:asciiTheme="minorHAnsi" w:hAnsiTheme="minorHAnsi" w:cs="Arial"/>
                <w:sz w:val="22"/>
                <w:szCs w:val="22"/>
              </w:rPr>
            </w:pPr>
            <w:r>
              <w:rPr>
                <w:rFonts w:asciiTheme="minorHAnsi" w:hAnsiTheme="minorHAnsi" w:cs="Arial"/>
                <w:sz w:val="22"/>
                <w:szCs w:val="22"/>
              </w:rPr>
              <w:t>There is a n</w:t>
            </w:r>
            <w:r w:rsidRPr="0060011E">
              <w:rPr>
                <w:rFonts w:asciiTheme="minorHAnsi" w:hAnsiTheme="minorHAnsi" w:cs="Arial"/>
                <w:sz w:val="22"/>
                <w:szCs w:val="22"/>
              </w:rPr>
              <w:t>eed to increase transparency &amp; security of land tenure to improve land rights/decrease conflict potential</w:t>
            </w:r>
            <w:r>
              <w:rPr>
                <w:rFonts w:asciiTheme="minorHAnsi" w:hAnsiTheme="minorHAnsi" w:cs="Arial"/>
                <w:sz w:val="22"/>
                <w:szCs w:val="22"/>
              </w:rPr>
              <w:t>.</w:t>
            </w:r>
          </w:p>
          <w:p w:rsidR="0040532B" w:rsidRPr="0060011E" w:rsidRDefault="0040532B" w:rsidP="00857C0A">
            <w:pPr>
              <w:jc w:val="both"/>
              <w:rPr>
                <w:rFonts w:asciiTheme="minorHAnsi" w:hAnsiTheme="minorHAnsi" w:cs="Arial"/>
                <w:sz w:val="22"/>
                <w:szCs w:val="22"/>
              </w:rPr>
            </w:pPr>
            <w:r>
              <w:rPr>
                <w:rFonts w:asciiTheme="minorHAnsi" w:hAnsiTheme="minorHAnsi" w:cs="Arial"/>
                <w:sz w:val="22"/>
                <w:szCs w:val="22"/>
              </w:rPr>
              <w:t xml:space="preserve">The 2011 </w:t>
            </w:r>
            <w:r w:rsidRPr="0060011E">
              <w:rPr>
                <w:rFonts w:asciiTheme="minorHAnsi" w:hAnsiTheme="minorHAnsi" w:cs="Arial"/>
                <w:sz w:val="22"/>
                <w:szCs w:val="22"/>
              </w:rPr>
              <w:t>UPR and Tanzania’s subsequent response offers</w:t>
            </w:r>
            <w:r>
              <w:rPr>
                <w:rFonts w:asciiTheme="minorHAnsi" w:hAnsiTheme="minorHAnsi" w:cs="Arial"/>
                <w:sz w:val="22"/>
                <w:szCs w:val="22"/>
              </w:rPr>
              <w:t xml:space="preserve"> an </w:t>
            </w:r>
            <w:r w:rsidRPr="0060011E">
              <w:rPr>
                <w:rFonts w:asciiTheme="minorHAnsi" w:hAnsiTheme="minorHAnsi" w:cs="Arial"/>
                <w:sz w:val="22"/>
                <w:szCs w:val="22"/>
              </w:rPr>
              <w:t>agen</w:t>
            </w:r>
            <w:r>
              <w:rPr>
                <w:rFonts w:asciiTheme="minorHAnsi" w:hAnsiTheme="minorHAnsi" w:cs="Arial"/>
                <w:sz w:val="22"/>
                <w:szCs w:val="22"/>
              </w:rPr>
              <w:t>da for human rights advancement.</w:t>
            </w:r>
          </w:p>
          <w:p w:rsidR="0040532B" w:rsidRPr="00197345" w:rsidRDefault="0040532B" w:rsidP="00857C0A">
            <w:pPr>
              <w:jc w:val="both"/>
              <w:rPr>
                <w:rFonts w:asciiTheme="minorHAnsi" w:hAnsiTheme="minorHAnsi" w:cs="Arial"/>
                <w:sz w:val="16"/>
                <w:szCs w:val="16"/>
              </w:rPr>
            </w:pPr>
          </w:p>
          <w:p w:rsidR="0040532B" w:rsidRPr="0060011E" w:rsidRDefault="0040532B" w:rsidP="00857C0A">
            <w:pPr>
              <w:jc w:val="both"/>
              <w:rPr>
                <w:rFonts w:asciiTheme="minorHAnsi" w:hAnsiTheme="minorHAnsi" w:cs="Arial"/>
                <w:bCs/>
                <w:sz w:val="22"/>
                <w:szCs w:val="22"/>
              </w:rPr>
            </w:pPr>
            <w:r w:rsidRPr="00E454A1">
              <w:rPr>
                <w:rFonts w:asciiTheme="minorHAnsi" w:hAnsiTheme="minorHAnsi" w:cs="Arial"/>
                <w:bCs/>
                <w:sz w:val="22"/>
                <w:szCs w:val="22"/>
                <w:u w:val="single"/>
              </w:rPr>
              <w:t>Rule of Law/Independence of the Judiciary</w:t>
            </w:r>
            <w:r w:rsidRPr="0060011E">
              <w:rPr>
                <w:rFonts w:asciiTheme="minorHAnsi" w:hAnsiTheme="minorHAnsi" w:cs="Arial"/>
                <w:bCs/>
                <w:sz w:val="22"/>
                <w:szCs w:val="22"/>
              </w:rPr>
              <w:t xml:space="preserve">: </w:t>
            </w:r>
            <w:r w:rsidRPr="0060011E">
              <w:rPr>
                <w:rFonts w:asciiTheme="minorHAnsi" w:hAnsiTheme="minorHAnsi" w:cs="Arial"/>
                <w:sz w:val="22"/>
                <w:szCs w:val="22"/>
              </w:rPr>
              <w:t>Tanzania enshrines the rule of law and equitable access to justice.  The Judiciary is seen as</w:t>
            </w:r>
            <w:r>
              <w:rPr>
                <w:rFonts w:asciiTheme="minorHAnsi" w:hAnsiTheme="minorHAnsi" w:cs="Arial"/>
                <w:sz w:val="22"/>
                <w:szCs w:val="22"/>
              </w:rPr>
              <w:t xml:space="preserve"> lacking capacity and there are consistently high perceptions of corruption reported. However</w:t>
            </w:r>
            <w:r w:rsidRPr="0060011E">
              <w:rPr>
                <w:rFonts w:asciiTheme="minorHAnsi" w:hAnsiTheme="minorHAnsi" w:cs="Arial"/>
                <w:sz w:val="22"/>
                <w:szCs w:val="22"/>
              </w:rPr>
              <w:t xml:space="preserve"> </w:t>
            </w:r>
            <w:r>
              <w:rPr>
                <w:rFonts w:asciiTheme="minorHAnsi" w:hAnsiTheme="minorHAnsi" w:cs="Arial"/>
                <w:sz w:val="22"/>
                <w:szCs w:val="22"/>
              </w:rPr>
              <w:t xml:space="preserve">it is </w:t>
            </w:r>
            <w:r w:rsidRPr="0060011E">
              <w:rPr>
                <w:rFonts w:asciiTheme="minorHAnsi" w:hAnsiTheme="minorHAnsi" w:cs="Arial"/>
                <w:sz w:val="22"/>
                <w:szCs w:val="22"/>
              </w:rPr>
              <w:t xml:space="preserve">more independent than it once was and Parliament </w:t>
            </w:r>
            <w:r>
              <w:rPr>
                <w:rFonts w:asciiTheme="minorHAnsi" w:hAnsiTheme="minorHAnsi" w:cs="Arial"/>
                <w:sz w:val="22"/>
                <w:szCs w:val="22"/>
              </w:rPr>
              <w:t xml:space="preserve">as </w:t>
            </w:r>
            <w:r w:rsidRPr="0060011E">
              <w:rPr>
                <w:rFonts w:asciiTheme="minorHAnsi" w:hAnsiTheme="minorHAnsi" w:cs="Arial"/>
                <w:sz w:val="22"/>
                <w:szCs w:val="22"/>
              </w:rPr>
              <w:t>more assertive</w:t>
            </w:r>
            <w:r>
              <w:rPr>
                <w:rFonts w:asciiTheme="minorHAnsi" w:hAnsiTheme="minorHAnsi" w:cs="Arial"/>
                <w:sz w:val="22"/>
                <w:szCs w:val="22"/>
              </w:rPr>
              <w:t>,</w:t>
            </w:r>
            <w:r w:rsidRPr="0060011E">
              <w:rPr>
                <w:rFonts w:asciiTheme="minorHAnsi" w:hAnsiTheme="minorHAnsi" w:cs="Arial"/>
                <w:sz w:val="22"/>
                <w:szCs w:val="22"/>
              </w:rPr>
              <w:t xml:space="preserve"> but the Executive continues to exercise influence over both.</w:t>
            </w:r>
          </w:p>
          <w:p w:rsidR="0040532B" w:rsidRPr="00197345" w:rsidRDefault="0040532B" w:rsidP="00857C0A">
            <w:pPr>
              <w:jc w:val="both"/>
              <w:rPr>
                <w:rFonts w:asciiTheme="minorHAnsi" w:hAnsiTheme="minorHAnsi" w:cs="Arial"/>
                <w:b/>
                <w:bCs/>
                <w:sz w:val="16"/>
                <w:szCs w:val="16"/>
              </w:rPr>
            </w:pPr>
          </w:p>
          <w:p w:rsidR="003B4CEB" w:rsidRPr="00124855" w:rsidRDefault="0040532B" w:rsidP="00B83B2B">
            <w:pPr>
              <w:jc w:val="both"/>
              <w:rPr>
                <w:rFonts w:asciiTheme="minorHAnsi" w:hAnsiTheme="minorHAnsi" w:cs="Arial"/>
                <w:sz w:val="22"/>
                <w:szCs w:val="22"/>
              </w:rPr>
            </w:pPr>
            <w:r w:rsidRPr="00E454A1">
              <w:rPr>
                <w:rFonts w:asciiTheme="minorHAnsi" w:hAnsiTheme="minorHAnsi" w:cs="Arial"/>
                <w:bCs/>
                <w:sz w:val="22"/>
                <w:szCs w:val="22"/>
                <w:u w:val="single"/>
              </w:rPr>
              <w:t>Democratic Principles</w:t>
            </w:r>
            <w:r w:rsidRPr="0060011E">
              <w:rPr>
                <w:rFonts w:asciiTheme="minorHAnsi" w:hAnsiTheme="minorHAnsi" w:cs="Arial"/>
                <w:bCs/>
                <w:sz w:val="22"/>
                <w:szCs w:val="22"/>
              </w:rPr>
              <w:t>:</w:t>
            </w:r>
            <w:r w:rsidRPr="0060011E">
              <w:rPr>
                <w:rFonts w:asciiTheme="minorHAnsi" w:hAnsiTheme="minorHAnsi" w:cs="Arial"/>
                <w:sz w:val="22"/>
                <w:szCs w:val="22"/>
              </w:rPr>
              <w:t xml:space="preserve"> The 2010 elections fell short of some international principles but credible &amp; im</w:t>
            </w:r>
            <w:r>
              <w:rPr>
                <w:rFonts w:asciiTheme="minorHAnsi" w:hAnsiTheme="minorHAnsi" w:cs="Arial"/>
                <w:sz w:val="22"/>
                <w:szCs w:val="22"/>
              </w:rPr>
              <w:t>provement on previous elections.</w:t>
            </w:r>
            <w:r w:rsidRPr="0060011E">
              <w:rPr>
                <w:rFonts w:asciiTheme="minorHAnsi" w:hAnsiTheme="minorHAnsi" w:cs="Arial"/>
                <w:sz w:val="22"/>
                <w:szCs w:val="22"/>
              </w:rPr>
              <w:t xml:space="preserve"> The Constitutional Referendum and </w:t>
            </w:r>
            <w:r>
              <w:rPr>
                <w:rFonts w:asciiTheme="minorHAnsi" w:hAnsiTheme="minorHAnsi" w:cs="Arial"/>
                <w:sz w:val="22"/>
                <w:szCs w:val="22"/>
              </w:rPr>
              <w:t xml:space="preserve">the </w:t>
            </w:r>
            <w:r w:rsidRPr="0060011E">
              <w:rPr>
                <w:rFonts w:asciiTheme="minorHAnsi" w:hAnsiTheme="minorHAnsi" w:cs="Arial"/>
                <w:sz w:val="22"/>
                <w:szCs w:val="22"/>
              </w:rPr>
              <w:t>2015 elections offer opportunities to consolidate and improve Tanzania’s credentials</w:t>
            </w:r>
            <w:r>
              <w:rPr>
                <w:rFonts w:asciiTheme="minorHAnsi" w:hAnsiTheme="minorHAnsi" w:cs="Arial"/>
                <w:sz w:val="22"/>
                <w:szCs w:val="22"/>
              </w:rPr>
              <w:t>,</w:t>
            </w:r>
            <w:r w:rsidRPr="0060011E">
              <w:rPr>
                <w:rFonts w:asciiTheme="minorHAnsi" w:hAnsiTheme="minorHAnsi" w:cs="Arial"/>
                <w:sz w:val="22"/>
                <w:szCs w:val="22"/>
              </w:rPr>
              <w:t xml:space="preserve"> but </w:t>
            </w:r>
            <w:r>
              <w:rPr>
                <w:rFonts w:asciiTheme="minorHAnsi" w:hAnsiTheme="minorHAnsi" w:cs="Arial"/>
                <w:sz w:val="22"/>
                <w:szCs w:val="22"/>
              </w:rPr>
              <w:t xml:space="preserve">there are </w:t>
            </w:r>
            <w:r w:rsidRPr="0060011E">
              <w:rPr>
                <w:rFonts w:asciiTheme="minorHAnsi" w:hAnsiTheme="minorHAnsi" w:cs="Arial"/>
                <w:sz w:val="22"/>
                <w:szCs w:val="22"/>
              </w:rPr>
              <w:t xml:space="preserve">potential risks if outcomes </w:t>
            </w:r>
            <w:r>
              <w:rPr>
                <w:rFonts w:asciiTheme="minorHAnsi" w:hAnsiTheme="minorHAnsi" w:cs="Arial"/>
                <w:sz w:val="22"/>
                <w:szCs w:val="22"/>
              </w:rPr>
              <w:t>are not regarded as progressive. Especially crucial is the (perceived) integrity of the voter registers and the institutions responsible for the conduct of credible elections. R</w:t>
            </w:r>
            <w:r w:rsidRPr="0060011E">
              <w:rPr>
                <w:rFonts w:asciiTheme="minorHAnsi" w:hAnsiTheme="minorHAnsi" w:cs="Arial"/>
                <w:sz w:val="22"/>
                <w:szCs w:val="22"/>
              </w:rPr>
              <w:t xml:space="preserve">ecent demonstrations suggest that </w:t>
            </w:r>
            <w:proofErr w:type="spellStart"/>
            <w:r w:rsidRPr="0060011E">
              <w:rPr>
                <w:rFonts w:asciiTheme="minorHAnsi" w:hAnsiTheme="minorHAnsi" w:cs="Arial"/>
                <w:sz w:val="22"/>
                <w:szCs w:val="22"/>
              </w:rPr>
              <w:t>GoT’s</w:t>
            </w:r>
            <w:proofErr w:type="spellEnd"/>
            <w:r w:rsidRPr="0060011E">
              <w:rPr>
                <w:rFonts w:asciiTheme="minorHAnsi" w:hAnsiTheme="minorHAnsi" w:cs="Arial"/>
                <w:sz w:val="22"/>
                <w:szCs w:val="22"/>
              </w:rPr>
              <w:t xml:space="preserve"> effective management of public order will be critical going forward.</w:t>
            </w:r>
          </w:p>
        </w:tc>
      </w:tr>
    </w:tbl>
    <w:p w:rsidR="00CE69EA" w:rsidRDefault="00CE69EA" w:rsidP="000B2E2F">
      <w:pPr>
        <w:rPr>
          <w:b/>
          <w:noProof/>
          <w:sz w:val="28"/>
          <w:u w:val="single"/>
          <w:lang w:eastAsia="en-GB"/>
        </w:rPr>
      </w:pPr>
    </w:p>
    <w:p w:rsidR="000B2E2F" w:rsidRPr="002C5009" w:rsidRDefault="000B2E2F" w:rsidP="000B2E2F">
      <w:pPr>
        <w:rPr>
          <w:b/>
          <w:noProof/>
          <w:sz w:val="28"/>
          <w:u w:val="single"/>
          <w:lang w:eastAsia="en-GB"/>
        </w:rPr>
      </w:pPr>
      <w:r w:rsidRPr="00E454A1">
        <w:rPr>
          <w:b/>
          <w:noProof/>
          <w:sz w:val="28"/>
          <w:u w:val="single"/>
          <w:lang w:eastAsia="en-GB"/>
        </w:rPr>
        <w:lastRenderedPageBreak/>
        <w:t>Underlying Principle 5</w:t>
      </w:r>
    </w:p>
    <w:p w:rsidR="000B2E2F" w:rsidRDefault="000B2E2F" w:rsidP="000B2E2F">
      <w:pPr>
        <w:rPr>
          <w:b/>
          <w:noProof/>
          <w:sz w:val="28"/>
          <w:u w:val="single"/>
          <w:lang w:eastAsia="en-GB"/>
        </w:rPr>
      </w:pPr>
    </w:p>
    <w:tbl>
      <w:tblPr>
        <w:tblpPr w:leftFromText="180" w:rightFromText="180" w:vertAnchor="page" w:horzAnchor="margin" w:tblpY="146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4"/>
        <w:gridCol w:w="10065"/>
      </w:tblGrid>
      <w:tr w:rsidR="000B2E2F" w:rsidRPr="00EB2967" w:rsidTr="00906EC7">
        <w:tc>
          <w:tcPr>
            <w:tcW w:w="3794" w:type="dxa"/>
            <w:shd w:val="clear" w:color="auto" w:fill="BFBFBF"/>
          </w:tcPr>
          <w:p w:rsidR="000B2E2F" w:rsidRPr="00EB2967" w:rsidRDefault="000B2E2F" w:rsidP="00906EC7">
            <w:pPr>
              <w:ind w:left="142" w:hanging="142"/>
              <w:jc w:val="center"/>
              <w:rPr>
                <w:rFonts w:asciiTheme="minorHAnsi" w:hAnsiTheme="minorHAnsi" w:cs="Arial"/>
                <w:b/>
                <w:sz w:val="22"/>
                <w:szCs w:val="22"/>
                <w:u w:val="single"/>
              </w:rPr>
            </w:pPr>
            <w:r w:rsidRPr="00EB2967">
              <w:rPr>
                <w:rFonts w:asciiTheme="minorHAnsi" w:hAnsiTheme="minorHAnsi" w:cs="Arial"/>
                <w:b/>
                <w:sz w:val="22"/>
                <w:szCs w:val="22"/>
                <w:u w:val="single"/>
              </w:rPr>
              <w:t>UP</w:t>
            </w:r>
          </w:p>
        </w:tc>
        <w:tc>
          <w:tcPr>
            <w:tcW w:w="1984" w:type="dxa"/>
            <w:tcBorders>
              <w:bottom w:val="single" w:sz="4" w:space="0" w:color="auto"/>
            </w:tcBorders>
            <w:shd w:val="clear" w:color="auto" w:fill="BFBFBF"/>
          </w:tcPr>
          <w:p w:rsidR="000B2E2F" w:rsidRPr="00EB2967" w:rsidRDefault="000B2E2F" w:rsidP="00906EC7">
            <w:pPr>
              <w:jc w:val="center"/>
              <w:rPr>
                <w:rFonts w:asciiTheme="minorHAnsi" w:hAnsiTheme="minorHAnsi" w:cs="Arial"/>
                <w:b/>
                <w:sz w:val="22"/>
                <w:szCs w:val="22"/>
                <w:u w:val="single"/>
              </w:rPr>
            </w:pPr>
            <w:r w:rsidRPr="00EB2967">
              <w:rPr>
                <w:rFonts w:asciiTheme="minorHAnsi" w:hAnsiTheme="minorHAnsi" w:cs="Arial"/>
                <w:b/>
                <w:sz w:val="22"/>
                <w:szCs w:val="22"/>
                <w:u w:val="single"/>
              </w:rPr>
              <w:t>Summary Assessment</w:t>
            </w:r>
          </w:p>
        </w:tc>
        <w:tc>
          <w:tcPr>
            <w:tcW w:w="10065" w:type="dxa"/>
            <w:shd w:val="clear" w:color="auto" w:fill="BFBFBF"/>
          </w:tcPr>
          <w:p w:rsidR="000B2E2F" w:rsidRPr="00EB2967" w:rsidRDefault="000B2E2F" w:rsidP="00906EC7">
            <w:pPr>
              <w:jc w:val="center"/>
              <w:rPr>
                <w:rFonts w:asciiTheme="minorHAnsi" w:hAnsiTheme="minorHAnsi" w:cs="Arial"/>
                <w:b/>
                <w:sz w:val="22"/>
                <w:szCs w:val="22"/>
                <w:u w:val="single"/>
              </w:rPr>
            </w:pPr>
            <w:r>
              <w:rPr>
                <w:rFonts w:asciiTheme="minorHAnsi" w:hAnsiTheme="minorHAnsi" w:cs="Arial"/>
                <w:b/>
                <w:sz w:val="22"/>
                <w:szCs w:val="22"/>
                <w:u w:val="single"/>
              </w:rPr>
              <w:t>Key Concerns</w:t>
            </w:r>
            <w:r w:rsidRPr="00EB2967">
              <w:rPr>
                <w:rFonts w:asciiTheme="minorHAnsi" w:hAnsiTheme="minorHAnsi" w:cs="Arial"/>
                <w:b/>
                <w:sz w:val="22"/>
                <w:szCs w:val="22"/>
                <w:u w:val="single"/>
              </w:rPr>
              <w:t xml:space="preserve"> to Raise in Dialogue</w:t>
            </w:r>
          </w:p>
        </w:tc>
      </w:tr>
      <w:tr w:rsidR="000B2E2F" w:rsidRPr="00EB2967" w:rsidTr="00CE69EA">
        <w:tc>
          <w:tcPr>
            <w:tcW w:w="3794" w:type="dxa"/>
            <w:tcBorders>
              <w:bottom w:val="single" w:sz="4" w:space="0" w:color="auto"/>
            </w:tcBorders>
            <w:shd w:val="clear" w:color="auto" w:fill="D9D9D9"/>
          </w:tcPr>
          <w:p w:rsidR="000B2E2F" w:rsidRDefault="000B2E2F" w:rsidP="00906EC7">
            <w:pPr>
              <w:rPr>
                <w:rFonts w:asciiTheme="minorHAnsi" w:hAnsiTheme="minorHAnsi" w:cs="Arial"/>
                <w:b/>
                <w:sz w:val="22"/>
                <w:szCs w:val="22"/>
              </w:rPr>
            </w:pPr>
          </w:p>
          <w:p w:rsidR="000B2E2F" w:rsidRPr="00EB2967" w:rsidRDefault="000B2E2F" w:rsidP="00906EC7">
            <w:pPr>
              <w:rPr>
                <w:rFonts w:asciiTheme="minorHAnsi" w:hAnsiTheme="minorHAnsi" w:cs="Arial"/>
                <w:b/>
                <w:sz w:val="22"/>
                <w:szCs w:val="22"/>
              </w:rPr>
            </w:pPr>
            <w:r w:rsidRPr="00EB2967">
              <w:rPr>
                <w:rFonts w:asciiTheme="minorHAnsi" w:hAnsiTheme="minorHAnsi" w:cs="Arial"/>
                <w:b/>
                <w:sz w:val="22"/>
                <w:szCs w:val="22"/>
              </w:rPr>
              <w:t>Good Governance, accountability of the government to the citizenry and integrity of public life, including the active fight against corruption in accordance with the laws of the United Republic of Tanzania.</w:t>
            </w:r>
          </w:p>
        </w:tc>
        <w:tc>
          <w:tcPr>
            <w:tcW w:w="1984" w:type="dxa"/>
            <w:tcBorders>
              <w:bottom w:val="single" w:sz="4" w:space="0" w:color="auto"/>
            </w:tcBorders>
            <w:shd w:val="clear" w:color="auto" w:fill="FF9900"/>
          </w:tcPr>
          <w:p w:rsidR="000B2E2F" w:rsidRDefault="000B2E2F" w:rsidP="00906EC7">
            <w:pPr>
              <w:jc w:val="center"/>
              <w:rPr>
                <w:rFonts w:asciiTheme="minorHAnsi" w:hAnsiTheme="minorHAnsi" w:cs="Arial"/>
                <w:b/>
                <w:sz w:val="22"/>
                <w:szCs w:val="22"/>
              </w:rPr>
            </w:pPr>
          </w:p>
          <w:p w:rsidR="000B2E2F" w:rsidRPr="001D634D" w:rsidRDefault="000B2E2F" w:rsidP="00906EC7">
            <w:pPr>
              <w:jc w:val="center"/>
              <w:rPr>
                <w:rFonts w:asciiTheme="minorHAnsi" w:hAnsiTheme="minorHAnsi" w:cs="Arial"/>
                <w:b/>
                <w:sz w:val="22"/>
                <w:szCs w:val="22"/>
              </w:rPr>
            </w:pPr>
            <w:r w:rsidRPr="001D634D">
              <w:rPr>
                <w:rFonts w:asciiTheme="minorHAnsi" w:hAnsiTheme="minorHAnsi" w:cs="Arial"/>
                <w:b/>
                <w:sz w:val="22"/>
                <w:szCs w:val="22"/>
              </w:rPr>
              <w:t>Orange</w:t>
            </w:r>
          </w:p>
        </w:tc>
        <w:tc>
          <w:tcPr>
            <w:tcW w:w="10065" w:type="dxa"/>
            <w:tcBorders>
              <w:bottom w:val="single" w:sz="4" w:space="0" w:color="auto"/>
            </w:tcBorders>
            <w:shd w:val="clear" w:color="auto" w:fill="auto"/>
          </w:tcPr>
          <w:p w:rsidR="00177DFC" w:rsidRPr="00B83B2B" w:rsidRDefault="00177DFC" w:rsidP="00177DFC">
            <w:pPr>
              <w:pStyle w:val="ListParagraph"/>
              <w:numPr>
                <w:ilvl w:val="0"/>
                <w:numId w:val="4"/>
              </w:numPr>
              <w:spacing w:after="60"/>
              <w:ind w:left="357" w:hanging="357"/>
              <w:rPr>
                <w:rFonts w:asciiTheme="minorHAnsi" w:hAnsiTheme="minorHAnsi"/>
                <w:sz w:val="22"/>
                <w:szCs w:val="22"/>
              </w:rPr>
            </w:pPr>
            <w:r w:rsidRPr="00B83B2B">
              <w:rPr>
                <w:rFonts w:asciiTheme="minorHAnsi" w:hAnsiTheme="minorHAnsi"/>
                <w:sz w:val="22"/>
                <w:szCs w:val="22"/>
              </w:rPr>
              <w:t xml:space="preserve">A </w:t>
            </w:r>
            <w:r w:rsidRPr="00B83B2B">
              <w:rPr>
                <w:rFonts w:asciiTheme="minorHAnsi" w:hAnsiTheme="minorHAnsi"/>
                <w:b/>
                <w:sz w:val="22"/>
                <w:szCs w:val="22"/>
              </w:rPr>
              <w:t>more active approach against corruption</w:t>
            </w:r>
            <w:r w:rsidRPr="00B83B2B">
              <w:rPr>
                <w:rFonts w:asciiTheme="minorHAnsi" w:hAnsiTheme="minorHAnsi"/>
                <w:sz w:val="22"/>
                <w:szCs w:val="22"/>
              </w:rPr>
              <w:t xml:space="preserve"> is needed - including movement on potential grand corruption in key sectors (Health, Port, </w:t>
            </w:r>
            <w:proofErr w:type="gramStart"/>
            <w:r w:rsidRPr="00B83B2B">
              <w:rPr>
                <w:rFonts w:asciiTheme="minorHAnsi" w:hAnsiTheme="minorHAnsi"/>
                <w:sz w:val="22"/>
                <w:szCs w:val="22"/>
              </w:rPr>
              <w:t>Energy</w:t>
            </w:r>
            <w:proofErr w:type="gramEnd"/>
            <w:r w:rsidRPr="00B83B2B">
              <w:rPr>
                <w:rFonts w:asciiTheme="minorHAnsi" w:hAnsiTheme="minorHAnsi"/>
                <w:sz w:val="22"/>
                <w:szCs w:val="22"/>
              </w:rPr>
              <w:t>).  With regard to the energy sector, there is particular concern around potential wrongdoing including possible corruption in respect of the IPTL case.  Such wrongdoing merits GoT investigation.</w:t>
            </w:r>
          </w:p>
          <w:p w:rsidR="00177DFC" w:rsidRPr="00B83B2B" w:rsidRDefault="00177DFC" w:rsidP="00177DFC">
            <w:pPr>
              <w:pStyle w:val="ListParagraph"/>
              <w:numPr>
                <w:ilvl w:val="0"/>
                <w:numId w:val="4"/>
              </w:numPr>
              <w:spacing w:after="60"/>
              <w:ind w:left="357" w:hanging="357"/>
              <w:rPr>
                <w:rFonts w:asciiTheme="minorHAnsi" w:hAnsiTheme="minorHAnsi"/>
                <w:sz w:val="22"/>
                <w:szCs w:val="22"/>
              </w:rPr>
            </w:pPr>
            <w:r w:rsidRPr="00B83B2B">
              <w:rPr>
                <w:rFonts w:asciiTheme="minorHAnsi" w:hAnsiTheme="minorHAnsi"/>
                <w:sz w:val="22"/>
                <w:szCs w:val="22"/>
              </w:rPr>
              <w:t>A greater use of administrative sanctions for petty corruption offences is required; including the police and judiciary.</w:t>
            </w:r>
          </w:p>
          <w:p w:rsidR="00177DFC" w:rsidRPr="00B83B2B" w:rsidRDefault="00177DFC" w:rsidP="00177DFC">
            <w:pPr>
              <w:pStyle w:val="ListParagraph"/>
              <w:numPr>
                <w:ilvl w:val="0"/>
                <w:numId w:val="4"/>
              </w:numPr>
              <w:spacing w:after="60"/>
              <w:ind w:left="357" w:hanging="357"/>
              <w:rPr>
                <w:rFonts w:asciiTheme="minorHAnsi" w:hAnsiTheme="minorHAnsi"/>
                <w:sz w:val="22"/>
                <w:szCs w:val="22"/>
              </w:rPr>
            </w:pPr>
            <w:r w:rsidRPr="00B83B2B">
              <w:rPr>
                <w:rFonts w:asciiTheme="minorHAnsi" w:hAnsiTheme="minorHAnsi" w:cstheme="minorHAnsi"/>
                <w:sz w:val="22"/>
                <w:szCs w:val="22"/>
              </w:rPr>
              <w:t>The current situation underlines the ongoing requirement for regular, effective and well-informed HLD</w:t>
            </w:r>
            <w:r w:rsidRPr="00B83B2B">
              <w:rPr>
                <w:rFonts w:asciiTheme="minorHAnsi" w:hAnsiTheme="minorHAnsi"/>
                <w:sz w:val="22"/>
                <w:szCs w:val="22"/>
              </w:rPr>
              <w:t>.</w:t>
            </w:r>
          </w:p>
          <w:p w:rsidR="000B2E2F" w:rsidRPr="00B83B2B" w:rsidRDefault="000B2E2F" w:rsidP="00786618">
            <w:pPr>
              <w:pStyle w:val="ListParagraph"/>
              <w:numPr>
                <w:ilvl w:val="0"/>
                <w:numId w:val="4"/>
              </w:numPr>
              <w:spacing w:after="60"/>
              <w:rPr>
                <w:rFonts w:asciiTheme="minorHAnsi" w:hAnsiTheme="minorHAnsi"/>
                <w:sz w:val="22"/>
                <w:szCs w:val="22"/>
              </w:rPr>
            </w:pPr>
            <w:r w:rsidRPr="00B83B2B">
              <w:rPr>
                <w:rFonts w:asciiTheme="minorHAnsi" w:hAnsiTheme="minorHAnsi"/>
                <w:sz w:val="22"/>
                <w:szCs w:val="22"/>
              </w:rPr>
              <w:t xml:space="preserve">Strong government commitments on </w:t>
            </w:r>
            <w:r w:rsidRPr="00B83B2B">
              <w:rPr>
                <w:rFonts w:asciiTheme="minorHAnsi" w:hAnsiTheme="minorHAnsi"/>
                <w:b/>
                <w:sz w:val="22"/>
                <w:szCs w:val="22"/>
              </w:rPr>
              <w:t>access to information</w:t>
            </w:r>
            <w:r w:rsidRPr="00B83B2B">
              <w:rPr>
                <w:rFonts w:asciiTheme="minorHAnsi" w:hAnsiTheme="minorHAnsi"/>
                <w:sz w:val="22"/>
                <w:szCs w:val="22"/>
              </w:rPr>
              <w:t xml:space="preserve"> (e.g. EITI, OGP, </w:t>
            </w:r>
            <w:proofErr w:type="spellStart"/>
            <w:proofErr w:type="gramStart"/>
            <w:r w:rsidRPr="00B83B2B">
              <w:rPr>
                <w:rFonts w:asciiTheme="minorHAnsi" w:hAnsiTheme="minorHAnsi"/>
                <w:sz w:val="22"/>
                <w:szCs w:val="22"/>
              </w:rPr>
              <w:t>FoI</w:t>
            </w:r>
            <w:proofErr w:type="spellEnd"/>
            <w:proofErr w:type="gramEnd"/>
            <w:r w:rsidRPr="00B83B2B">
              <w:rPr>
                <w:rFonts w:asciiTheme="minorHAnsi" w:hAnsiTheme="minorHAnsi"/>
                <w:sz w:val="22"/>
                <w:szCs w:val="22"/>
              </w:rPr>
              <w:t>) but implementation and impact is still limited. Increasing public access to information (data, policy, budget allocations etc.), including at the local level, would be a major boost for accountability.</w:t>
            </w:r>
          </w:p>
          <w:p w:rsidR="00786618" w:rsidRPr="00B83B2B" w:rsidRDefault="00786618" w:rsidP="00786618">
            <w:pPr>
              <w:numPr>
                <w:ilvl w:val="0"/>
                <w:numId w:val="4"/>
              </w:numPr>
              <w:spacing w:after="60"/>
              <w:contextualSpacing/>
              <w:rPr>
                <w:rFonts w:asciiTheme="minorHAnsi" w:hAnsiTheme="minorHAnsi" w:cstheme="minorHAnsi"/>
                <w:sz w:val="22"/>
                <w:szCs w:val="22"/>
              </w:rPr>
            </w:pPr>
            <w:r w:rsidRPr="00B83B2B">
              <w:rPr>
                <w:rFonts w:asciiTheme="minorHAnsi" w:hAnsiTheme="minorHAnsi" w:cstheme="minorHAnsi"/>
                <w:sz w:val="22"/>
                <w:szCs w:val="22"/>
              </w:rPr>
              <w:t xml:space="preserve">Better follow-up and implementation of the </w:t>
            </w:r>
            <w:r w:rsidRPr="00B83B2B">
              <w:rPr>
                <w:rFonts w:asciiTheme="minorHAnsi" w:hAnsiTheme="minorHAnsi" w:cstheme="minorHAnsi"/>
                <w:b/>
                <w:sz w:val="22"/>
                <w:szCs w:val="22"/>
              </w:rPr>
              <w:t>recommendations of CAG reports</w:t>
            </w:r>
            <w:r w:rsidRPr="00B83B2B">
              <w:rPr>
                <w:rFonts w:asciiTheme="minorHAnsi" w:hAnsiTheme="minorHAnsi" w:cstheme="minorHAnsi"/>
                <w:sz w:val="22"/>
                <w:szCs w:val="22"/>
              </w:rPr>
              <w:t xml:space="preserve"> would further improve the important oversight role of the NAOT. It is also crucial to ensure that Bunge's debate of CAG reports retains its important role in the accountability cycle.</w:t>
            </w:r>
          </w:p>
          <w:p w:rsidR="000B2E2F" w:rsidRPr="00EB2967" w:rsidRDefault="000B2E2F" w:rsidP="00786618">
            <w:pPr>
              <w:numPr>
                <w:ilvl w:val="0"/>
                <w:numId w:val="4"/>
              </w:numPr>
              <w:spacing w:after="60"/>
              <w:contextualSpacing/>
              <w:rPr>
                <w:rFonts w:asciiTheme="minorHAnsi" w:hAnsiTheme="minorHAnsi" w:cs="Arial"/>
                <w:sz w:val="22"/>
                <w:szCs w:val="22"/>
              </w:rPr>
            </w:pPr>
            <w:r w:rsidRPr="00261B95">
              <w:rPr>
                <w:rFonts w:asciiTheme="minorHAnsi" w:hAnsiTheme="minorHAnsi"/>
                <w:sz w:val="22"/>
                <w:szCs w:val="22"/>
              </w:rPr>
              <w:t xml:space="preserve">The </w:t>
            </w:r>
            <w:r w:rsidRPr="001D0650">
              <w:rPr>
                <w:rFonts w:asciiTheme="minorHAnsi" w:hAnsiTheme="minorHAnsi"/>
                <w:b/>
                <w:sz w:val="22"/>
                <w:szCs w:val="22"/>
              </w:rPr>
              <w:t>Constitutional Review Commission</w:t>
            </w:r>
            <w:r w:rsidRPr="00261B95">
              <w:rPr>
                <w:rFonts w:asciiTheme="minorHAnsi" w:hAnsiTheme="minorHAnsi"/>
                <w:sz w:val="22"/>
                <w:szCs w:val="22"/>
              </w:rPr>
              <w:t xml:space="preserve"> has done commendable work and the review process has been a positive indication of citizen’s participation to-date. It is important that the inclusive approach is maintained in subsequent phases.</w:t>
            </w:r>
          </w:p>
        </w:tc>
      </w:tr>
      <w:tr w:rsidR="000B2E2F" w:rsidRPr="00EB2967" w:rsidTr="00CE69EA">
        <w:trPr>
          <w:trHeight w:val="3574"/>
        </w:trPr>
        <w:tc>
          <w:tcPr>
            <w:tcW w:w="15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B2E2F" w:rsidRDefault="000B2E2F" w:rsidP="00906EC7">
            <w:pPr>
              <w:spacing w:after="200" w:line="276" w:lineRule="auto"/>
              <w:contextualSpacing/>
              <w:rPr>
                <w:rFonts w:asciiTheme="minorHAnsi" w:hAnsiTheme="minorHAnsi"/>
                <w:b/>
                <w:u w:val="single"/>
              </w:rPr>
            </w:pPr>
            <w:r w:rsidRPr="001B59A7">
              <w:rPr>
                <w:rFonts w:asciiTheme="minorHAnsi" w:hAnsiTheme="minorHAnsi"/>
                <w:b/>
                <w:u w:val="single"/>
              </w:rPr>
              <w:t>Conclusions:</w:t>
            </w:r>
          </w:p>
          <w:p w:rsidR="000B2E2F" w:rsidRPr="001B59A7" w:rsidRDefault="000B2E2F" w:rsidP="00906EC7">
            <w:pPr>
              <w:spacing w:after="200" w:line="276" w:lineRule="auto"/>
              <w:contextualSpacing/>
              <w:rPr>
                <w:rFonts w:asciiTheme="minorHAnsi" w:hAnsiTheme="minorHAnsi"/>
                <w:u w:val="single"/>
                <w:lang w:val="en-US"/>
              </w:rPr>
            </w:pPr>
          </w:p>
          <w:p w:rsidR="000B2E2F" w:rsidRPr="007C5474" w:rsidRDefault="000B2E2F" w:rsidP="00906EC7">
            <w:pPr>
              <w:spacing w:after="200" w:line="276" w:lineRule="auto"/>
              <w:contextualSpacing/>
              <w:rPr>
                <w:rFonts w:asciiTheme="minorHAnsi" w:hAnsiTheme="minorHAnsi"/>
                <w:sz w:val="22"/>
                <w:szCs w:val="22"/>
              </w:rPr>
            </w:pPr>
            <w:r w:rsidRPr="007C5474">
              <w:rPr>
                <w:rFonts w:asciiTheme="minorHAnsi" w:hAnsiTheme="minorHAnsi"/>
                <w:sz w:val="22"/>
                <w:szCs w:val="22"/>
                <w:u w:val="single"/>
              </w:rPr>
              <w:t>Access to information/transparency</w:t>
            </w:r>
            <w:r w:rsidRPr="007C5474">
              <w:rPr>
                <w:rFonts w:asciiTheme="minorHAnsi" w:hAnsiTheme="minorHAnsi"/>
                <w:sz w:val="22"/>
                <w:szCs w:val="22"/>
              </w:rPr>
              <w:t>: The GoT demonstrated high international political-level commitment to improved openness, transparency and access to information through OGP (Open Government Partnership) and EITI.</w:t>
            </w:r>
            <w:r>
              <w:rPr>
                <w:rFonts w:asciiTheme="minorHAnsi" w:hAnsiTheme="minorHAnsi"/>
                <w:sz w:val="22"/>
                <w:szCs w:val="22"/>
              </w:rPr>
              <w:t xml:space="preserve"> Commitments to OGP have been reiterated at the highest level of GoT on several occasions in 2013.</w:t>
            </w:r>
            <w:r w:rsidRPr="007C5474">
              <w:rPr>
                <w:rFonts w:asciiTheme="minorHAnsi" w:hAnsiTheme="minorHAnsi"/>
                <w:sz w:val="22"/>
                <w:szCs w:val="22"/>
              </w:rPr>
              <w:t xml:space="preserve"> </w:t>
            </w:r>
            <w:r>
              <w:rPr>
                <w:rFonts w:asciiTheme="minorHAnsi" w:hAnsiTheme="minorHAnsi"/>
                <w:sz w:val="22"/>
                <w:szCs w:val="22"/>
              </w:rPr>
              <w:t>EITI in turn has sparked a broad debate on resource transparency which otherwise might have been absent. The Multi-Stakeholder Group (MSG) of EITI has approved the rather ambitious Action plan for 2014, which implements new EITI standards.</w:t>
            </w:r>
            <w:r w:rsidRPr="007C5474">
              <w:rPr>
                <w:rFonts w:asciiTheme="minorHAnsi" w:hAnsiTheme="minorHAnsi"/>
                <w:sz w:val="22"/>
                <w:szCs w:val="22"/>
              </w:rPr>
              <w:t xml:space="preserve"> </w:t>
            </w:r>
            <w:r>
              <w:rPr>
                <w:rFonts w:asciiTheme="minorHAnsi" w:hAnsiTheme="minorHAnsi"/>
                <w:sz w:val="22"/>
                <w:szCs w:val="22"/>
              </w:rPr>
              <w:t>Also, t</w:t>
            </w:r>
            <w:r w:rsidRPr="007C5474">
              <w:rPr>
                <w:rFonts w:asciiTheme="minorHAnsi" w:hAnsiTheme="minorHAnsi"/>
                <w:sz w:val="22"/>
                <w:szCs w:val="22"/>
              </w:rPr>
              <w:t xml:space="preserve">he Big Results Now offers opportunity for deepening accountability to citizenry. However, </w:t>
            </w:r>
            <w:r>
              <w:rPr>
                <w:rFonts w:asciiTheme="minorHAnsi" w:hAnsiTheme="minorHAnsi"/>
                <w:sz w:val="22"/>
                <w:szCs w:val="22"/>
              </w:rPr>
              <w:t xml:space="preserve">in particular </w:t>
            </w:r>
            <w:r w:rsidRPr="007C5474">
              <w:rPr>
                <w:rFonts w:asciiTheme="minorHAnsi" w:hAnsiTheme="minorHAnsi"/>
                <w:sz w:val="22"/>
                <w:szCs w:val="22"/>
              </w:rPr>
              <w:t xml:space="preserve">OGP commitments have to be followed by </w:t>
            </w:r>
            <w:r>
              <w:rPr>
                <w:rFonts w:asciiTheme="minorHAnsi" w:hAnsiTheme="minorHAnsi"/>
                <w:sz w:val="22"/>
                <w:szCs w:val="22"/>
              </w:rPr>
              <w:t xml:space="preserve">much </w:t>
            </w:r>
            <w:r w:rsidRPr="007C5474">
              <w:rPr>
                <w:rFonts w:asciiTheme="minorHAnsi" w:hAnsiTheme="minorHAnsi"/>
                <w:sz w:val="22"/>
                <w:szCs w:val="22"/>
              </w:rPr>
              <w:t>more rigorous implementation.</w:t>
            </w:r>
            <w:r>
              <w:rPr>
                <w:rFonts w:asciiTheme="minorHAnsi" w:hAnsiTheme="minorHAnsi"/>
                <w:sz w:val="22"/>
                <w:szCs w:val="22"/>
              </w:rPr>
              <w:t xml:space="preserve"> Progress to date has been minimal, as evidenced both by the </w:t>
            </w:r>
            <w:proofErr w:type="spellStart"/>
            <w:r>
              <w:rPr>
                <w:rFonts w:asciiTheme="minorHAnsi" w:hAnsiTheme="minorHAnsi"/>
                <w:sz w:val="22"/>
                <w:szCs w:val="22"/>
              </w:rPr>
              <w:t>GoT’s</w:t>
            </w:r>
            <w:proofErr w:type="spellEnd"/>
            <w:r>
              <w:rPr>
                <w:rFonts w:asciiTheme="minorHAnsi" w:hAnsiTheme="minorHAnsi"/>
                <w:sz w:val="22"/>
                <w:szCs w:val="22"/>
              </w:rPr>
              <w:t xml:space="preserve"> OGP self-assessment report and the OGP Indepen</w:t>
            </w:r>
            <w:r w:rsidR="0061209B">
              <w:rPr>
                <w:rFonts w:asciiTheme="minorHAnsi" w:hAnsiTheme="minorHAnsi"/>
                <w:sz w:val="22"/>
                <w:szCs w:val="22"/>
              </w:rPr>
              <w:t>dent Review Mechanism report. .</w:t>
            </w:r>
            <w:r w:rsidRPr="007C5474">
              <w:rPr>
                <w:rFonts w:asciiTheme="minorHAnsi" w:hAnsiTheme="minorHAnsi"/>
                <w:sz w:val="22"/>
                <w:szCs w:val="22"/>
              </w:rPr>
              <w:t xml:space="preserve">Access to information remains limited despite OGP commitments and despite being articulated clearly in the </w:t>
            </w:r>
            <w:r w:rsidRPr="007C5474">
              <w:rPr>
                <w:rFonts w:asciiTheme="minorHAnsi" w:hAnsiTheme="minorHAnsi"/>
                <w:sz w:val="22"/>
                <w:szCs w:val="22"/>
                <w:lang w:val="en-IE"/>
              </w:rPr>
              <w:t>Constitutional Review consultations</w:t>
            </w:r>
            <w:r w:rsidRPr="007C5474">
              <w:rPr>
                <w:rFonts w:asciiTheme="minorHAnsi" w:hAnsiTheme="minorHAnsi"/>
                <w:sz w:val="22"/>
                <w:szCs w:val="22"/>
              </w:rPr>
              <w:t xml:space="preserve">. This is further emphasized by </w:t>
            </w:r>
            <w:r w:rsidRPr="00E93DE5">
              <w:rPr>
                <w:rFonts w:asciiTheme="minorHAnsi" w:hAnsiTheme="minorHAnsi"/>
                <w:sz w:val="22"/>
                <w:szCs w:val="22"/>
              </w:rPr>
              <w:t>constraints on the media (see UP4).</w:t>
            </w:r>
            <w:r>
              <w:rPr>
                <w:rFonts w:asciiTheme="minorHAnsi" w:hAnsiTheme="minorHAnsi"/>
                <w:sz w:val="22"/>
                <w:szCs w:val="22"/>
              </w:rPr>
              <w:t xml:space="preserve">  The public commitment by the President of GoT in October 2013 to present a modern Access to Information bill to parliament by April 2014 constitutes a positive sign.</w:t>
            </w:r>
          </w:p>
          <w:p w:rsidR="000B2E2F" w:rsidRPr="007C5474" w:rsidRDefault="000B2E2F" w:rsidP="00906EC7">
            <w:pPr>
              <w:spacing w:after="200" w:line="276" w:lineRule="auto"/>
              <w:contextualSpacing/>
              <w:rPr>
                <w:rFonts w:asciiTheme="minorHAnsi" w:hAnsiTheme="minorHAnsi"/>
                <w:sz w:val="22"/>
                <w:szCs w:val="22"/>
              </w:rPr>
            </w:pPr>
          </w:p>
          <w:p w:rsidR="000B2E2F" w:rsidRPr="00EB2967" w:rsidRDefault="000B2E2F" w:rsidP="00906EC7">
            <w:pPr>
              <w:spacing w:after="200" w:line="276" w:lineRule="auto"/>
              <w:contextualSpacing/>
              <w:rPr>
                <w:rFonts w:asciiTheme="minorHAnsi" w:hAnsiTheme="minorHAnsi"/>
                <w:sz w:val="22"/>
                <w:szCs w:val="22"/>
              </w:rPr>
            </w:pPr>
            <w:r w:rsidRPr="007C5474">
              <w:rPr>
                <w:rFonts w:asciiTheme="minorHAnsi" w:hAnsiTheme="minorHAnsi"/>
                <w:sz w:val="22"/>
                <w:szCs w:val="22"/>
                <w:u w:val="single"/>
              </w:rPr>
              <w:t>Citizen’s voice and participation</w:t>
            </w:r>
            <w:r>
              <w:rPr>
                <w:rFonts w:asciiTheme="minorHAnsi" w:hAnsiTheme="minorHAnsi"/>
                <w:sz w:val="22"/>
                <w:szCs w:val="22"/>
              </w:rPr>
              <w:t xml:space="preserve">: The Constitutional Review Process has been broad-based and inclusive, showing a high degree of citizen’s participation. The conclusion of this on-going process in a bipartisan and inclusive way could make the Tanzanian CRP a model for the region. However, in general terms, citizen’s participation and </w:t>
            </w:r>
            <w:r w:rsidRPr="007C5474">
              <w:rPr>
                <w:rFonts w:asciiTheme="minorHAnsi" w:hAnsiTheme="minorHAnsi"/>
                <w:sz w:val="22"/>
                <w:szCs w:val="22"/>
              </w:rPr>
              <w:t>engage</w:t>
            </w:r>
            <w:r>
              <w:rPr>
                <w:rFonts w:asciiTheme="minorHAnsi" w:hAnsiTheme="minorHAnsi"/>
                <w:sz w:val="22"/>
                <w:szCs w:val="22"/>
              </w:rPr>
              <w:t>ment</w:t>
            </w:r>
            <w:r w:rsidRPr="007C5474">
              <w:rPr>
                <w:rFonts w:asciiTheme="minorHAnsi" w:hAnsiTheme="minorHAnsi"/>
                <w:sz w:val="22"/>
                <w:szCs w:val="22"/>
              </w:rPr>
              <w:t xml:space="preserve"> in domestic processes and decision making </w:t>
            </w:r>
            <w:r>
              <w:rPr>
                <w:rFonts w:asciiTheme="minorHAnsi" w:hAnsiTheme="minorHAnsi"/>
                <w:sz w:val="22"/>
                <w:szCs w:val="22"/>
              </w:rPr>
              <w:t>still leave considerable room for improvement</w:t>
            </w:r>
            <w:r w:rsidRPr="007C5474">
              <w:rPr>
                <w:rFonts w:asciiTheme="minorHAnsi" w:hAnsiTheme="minorHAnsi"/>
                <w:sz w:val="22"/>
                <w:szCs w:val="22"/>
              </w:rPr>
              <w:t xml:space="preserve">. </w:t>
            </w:r>
            <w:r>
              <w:rPr>
                <w:rFonts w:asciiTheme="minorHAnsi" w:hAnsiTheme="minorHAnsi"/>
                <w:sz w:val="22"/>
                <w:szCs w:val="22"/>
              </w:rPr>
              <w:t>Transparency of government, a</w:t>
            </w:r>
            <w:r w:rsidRPr="007C5474">
              <w:rPr>
                <w:rFonts w:asciiTheme="minorHAnsi" w:hAnsiTheme="minorHAnsi"/>
                <w:sz w:val="22"/>
                <w:szCs w:val="22"/>
              </w:rPr>
              <w:t>ccess to information</w:t>
            </w:r>
            <w:r>
              <w:rPr>
                <w:rFonts w:asciiTheme="minorHAnsi" w:hAnsiTheme="minorHAnsi"/>
                <w:sz w:val="22"/>
                <w:szCs w:val="22"/>
              </w:rPr>
              <w:t>, freedom of the media</w:t>
            </w:r>
            <w:r w:rsidRPr="007C5474">
              <w:rPr>
                <w:rFonts w:asciiTheme="minorHAnsi" w:hAnsiTheme="minorHAnsi"/>
                <w:sz w:val="22"/>
                <w:szCs w:val="22"/>
              </w:rPr>
              <w:t xml:space="preserve"> and </w:t>
            </w:r>
            <w:r w:rsidRPr="009D6DDF">
              <w:rPr>
                <w:rFonts w:asciiTheme="minorHAnsi" w:hAnsiTheme="minorHAnsi"/>
                <w:sz w:val="22"/>
                <w:szCs w:val="22"/>
              </w:rPr>
              <w:t>supportive legislation are crucial in this regard.</w:t>
            </w:r>
          </w:p>
        </w:tc>
      </w:tr>
      <w:tr w:rsidR="000B2E2F" w:rsidRPr="00EB2967" w:rsidTr="004F0DBA">
        <w:trPr>
          <w:trHeight w:val="5382"/>
        </w:trPr>
        <w:tc>
          <w:tcPr>
            <w:tcW w:w="15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B2E2F" w:rsidRPr="007C5474" w:rsidRDefault="000B2E2F" w:rsidP="00906EC7">
            <w:pPr>
              <w:spacing w:after="200" w:line="276" w:lineRule="auto"/>
              <w:contextualSpacing/>
              <w:rPr>
                <w:rFonts w:asciiTheme="minorHAnsi" w:hAnsiTheme="minorHAnsi"/>
                <w:b/>
                <w:sz w:val="22"/>
                <w:szCs w:val="22"/>
              </w:rPr>
            </w:pPr>
            <w:r w:rsidRPr="007C5474">
              <w:rPr>
                <w:rFonts w:asciiTheme="minorHAnsi" w:hAnsiTheme="minorHAnsi"/>
                <w:sz w:val="22"/>
                <w:szCs w:val="22"/>
                <w:u w:val="single"/>
              </w:rPr>
              <w:lastRenderedPageBreak/>
              <w:t>Executive accountability to Parliament</w:t>
            </w:r>
            <w:r w:rsidRPr="007C5474">
              <w:rPr>
                <w:rFonts w:asciiTheme="minorHAnsi" w:hAnsiTheme="minorHAnsi"/>
                <w:sz w:val="22"/>
                <w:szCs w:val="22"/>
              </w:rPr>
              <w:t xml:space="preserve">: </w:t>
            </w:r>
            <w:r>
              <w:rPr>
                <w:rFonts w:asciiTheme="minorHAnsi" w:hAnsiTheme="minorHAnsi"/>
                <w:sz w:val="22"/>
                <w:szCs w:val="22"/>
              </w:rPr>
              <w:t xml:space="preserve">Parliamentary scrutiny of the budget, budget debates in parliamentary </w:t>
            </w:r>
            <w:r w:rsidRPr="007C5474">
              <w:rPr>
                <w:rFonts w:asciiTheme="minorHAnsi" w:hAnsiTheme="minorHAnsi"/>
                <w:sz w:val="22"/>
                <w:szCs w:val="22"/>
              </w:rPr>
              <w:t>committees and plenary</w:t>
            </w:r>
            <w:r>
              <w:rPr>
                <w:rFonts w:asciiTheme="minorHAnsi" w:hAnsiTheme="minorHAnsi"/>
                <w:sz w:val="22"/>
                <w:szCs w:val="22"/>
              </w:rPr>
              <w:t>, and the quality of audit reports have consistently improved. The revised budget cycle</w:t>
            </w:r>
            <w:r w:rsidRPr="007C5474">
              <w:rPr>
                <w:rFonts w:asciiTheme="minorHAnsi" w:hAnsiTheme="minorHAnsi"/>
                <w:sz w:val="22"/>
                <w:szCs w:val="22"/>
              </w:rPr>
              <w:t xml:space="preserve"> </w:t>
            </w:r>
            <w:r>
              <w:rPr>
                <w:rFonts w:asciiTheme="minorHAnsi" w:hAnsiTheme="minorHAnsi"/>
                <w:sz w:val="22"/>
                <w:szCs w:val="22"/>
              </w:rPr>
              <w:t>has contributed positively to this</w:t>
            </w:r>
            <w:r w:rsidRPr="007C5474">
              <w:rPr>
                <w:rFonts w:asciiTheme="minorHAnsi" w:hAnsiTheme="minorHAnsi"/>
                <w:sz w:val="22"/>
                <w:szCs w:val="22"/>
              </w:rPr>
              <w:t>.</w:t>
            </w:r>
            <w:r>
              <w:rPr>
                <w:rFonts w:asciiTheme="minorHAnsi" w:hAnsiTheme="minorHAnsi"/>
                <w:sz w:val="22"/>
                <w:szCs w:val="22"/>
              </w:rPr>
              <w:t xml:space="preserve"> </w:t>
            </w:r>
            <w:r w:rsidRPr="007C5474">
              <w:rPr>
                <w:rFonts w:asciiTheme="minorHAnsi" w:hAnsiTheme="minorHAnsi"/>
                <w:sz w:val="22"/>
                <w:szCs w:val="22"/>
              </w:rPr>
              <w:t xml:space="preserve">However, there is still scope for </w:t>
            </w:r>
            <w:r>
              <w:rPr>
                <w:rFonts w:asciiTheme="minorHAnsi" w:hAnsiTheme="minorHAnsi"/>
                <w:sz w:val="22"/>
                <w:szCs w:val="22"/>
              </w:rPr>
              <w:t>strengthening</w:t>
            </w:r>
            <w:r w:rsidRPr="007C5474">
              <w:rPr>
                <w:rFonts w:asciiTheme="minorHAnsi" w:hAnsiTheme="minorHAnsi"/>
                <w:sz w:val="22"/>
                <w:szCs w:val="22"/>
              </w:rPr>
              <w:t xml:space="preserve"> parliamentary oversight of the </w:t>
            </w:r>
            <w:r>
              <w:rPr>
                <w:rFonts w:asciiTheme="minorHAnsi" w:hAnsiTheme="minorHAnsi"/>
                <w:sz w:val="22"/>
                <w:szCs w:val="22"/>
              </w:rPr>
              <w:t>budget, in particular with regard to access to budget information</w:t>
            </w:r>
            <w:r w:rsidRPr="007C5474">
              <w:rPr>
                <w:rFonts w:asciiTheme="minorHAnsi" w:hAnsiTheme="minorHAnsi"/>
                <w:sz w:val="22"/>
                <w:szCs w:val="22"/>
              </w:rPr>
              <w:t xml:space="preserve">. A serious concern is that </w:t>
            </w:r>
            <w:r>
              <w:rPr>
                <w:rFonts w:asciiTheme="minorHAnsi" w:hAnsiTheme="minorHAnsi"/>
                <w:sz w:val="22"/>
                <w:szCs w:val="22"/>
              </w:rPr>
              <w:t>GoT</w:t>
            </w:r>
            <w:r w:rsidRPr="007C5474">
              <w:rPr>
                <w:rFonts w:asciiTheme="minorHAnsi" w:hAnsiTheme="minorHAnsi"/>
                <w:sz w:val="22"/>
                <w:szCs w:val="22"/>
              </w:rPr>
              <w:t xml:space="preserve"> follow-up to audit findings an</w:t>
            </w:r>
            <w:r>
              <w:rPr>
                <w:rFonts w:asciiTheme="minorHAnsi" w:hAnsiTheme="minorHAnsi"/>
                <w:sz w:val="22"/>
                <w:szCs w:val="22"/>
              </w:rPr>
              <w:t>d recommendations remains weak</w:t>
            </w:r>
            <w:r w:rsidRPr="00B83B2B">
              <w:rPr>
                <w:rFonts w:asciiTheme="minorHAnsi" w:hAnsiTheme="minorHAnsi"/>
                <w:sz w:val="22"/>
                <w:szCs w:val="22"/>
              </w:rPr>
              <w:t xml:space="preserve">. </w:t>
            </w:r>
            <w:r w:rsidR="00786618" w:rsidRPr="00B83B2B">
              <w:rPr>
                <w:rFonts w:ascii="Calibri" w:hAnsi="Calibri"/>
                <w:sz w:val="22"/>
                <w:szCs w:val="22"/>
              </w:rPr>
              <w:t>Amendments made to the Audit Act (early 2013) implied a delay in the parliamentary debate of CAG audit reports (and PAC reports of the same), which raised concerns</w:t>
            </w:r>
            <w:r w:rsidR="00786618" w:rsidRPr="00B83B2B">
              <w:rPr>
                <w:rFonts w:ascii="Calibri" w:hAnsi="Calibri"/>
                <w:sz w:val="22"/>
                <w:szCs w:val="22"/>
              </w:rPr>
              <w:t xml:space="preserve"> </w:t>
            </w:r>
            <w:r w:rsidR="00786618" w:rsidRPr="00B83B2B">
              <w:rPr>
                <w:rFonts w:ascii="Calibri" w:hAnsi="Calibri"/>
                <w:sz w:val="22"/>
                <w:szCs w:val="22"/>
              </w:rPr>
              <w:t>whether the oversight role of parliament in scrutinizing CAG reports would be weakened. In 2013,</w:t>
            </w:r>
            <w:r w:rsidR="00786618" w:rsidRPr="00B83B2B">
              <w:rPr>
                <w:rFonts w:ascii="Calibri" w:hAnsi="Calibri" w:cs="Calibri"/>
                <w:sz w:val="22"/>
                <w:szCs w:val="22"/>
              </w:rPr>
              <w:t xml:space="preserve"> the executive's response to audit findings was submitted in October permitting subsequent parliamentary debate i</w:t>
            </w:r>
            <w:r w:rsidR="00786618" w:rsidRPr="00B83B2B">
              <w:rPr>
                <w:rFonts w:ascii="Calibri" w:hAnsi="Calibri" w:cs="Calibri"/>
                <w:sz w:val="22"/>
                <w:szCs w:val="22"/>
              </w:rPr>
              <w:t>n the November session of Bunge</w:t>
            </w:r>
            <w:r w:rsidR="00786618" w:rsidRPr="00B83B2B">
              <w:t>.</w:t>
            </w:r>
            <w:r w:rsidR="00786618" w:rsidRPr="00B83B2B">
              <w:rPr>
                <w:rFonts w:ascii="Calibri" w:hAnsi="Calibri" w:cs="Calibri"/>
                <w:sz w:val="22"/>
                <w:szCs w:val="22"/>
              </w:rPr>
              <w:t xml:space="preserve"> </w:t>
            </w:r>
            <w:r w:rsidR="00786618" w:rsidRPr="00B83B2B">
              <w:rPr>
                <w:rFonts w:ascii="Calibri" w:hAnsi="Calibri"/>
                <w:sz w:val="22"/>
                <w:szCs w:val="22"/>
              </w:rPr>
              <w:t>It remains crucial to ensure that the parliamentary debate of audit reports is timely and informed also in the future.</w:t>
            </w:r>
          </w:p>
          <w:p w:rsidR="00786618" w:rsidRDefault="00786618" w:rsidP="00906EC7">
            <w:pPr>
              <w:jc w:val="both"/>
              <w:rPr>
                <w:rFonts w:asciiTheme="minorHAnsi" w:eastAsia="Calibri" w:hAnsiTheme="minorHAnsi" w:cs="Arial"/>
                <w:sz w:val="22"/>
                <w:szCs w:val="22"/>
                <w:u w:val="single"/>
              </w:rPr>
            </w:pPr>
          </w:p>
          <w:p w:rsidR="000B2E2F" w:rsidRDefault="000B2E2F" w:rsidP="00906EC7">
            <w:pPr>
              <w:jc w:val="both"/>
              <w:rPr>
                <w:rFonts w:asciiTheme="minorHAnsi" w:eastAsia="MS Mincho" w:hAnsiTheme="minorHAnsi" w:cs="Arial"/>
                <w:color w:val="000000"/>
                <w:sz w:val="22"/>
                <w:szCs w:val="22"/>
                <w:lang w:val="en-IE" w:eastAsia="ja-JP"/>
              </w:rPr>
            </w:pPr>
            <w:r w:rsidRPr="00E454A1">
              <w:rPr>
                <w:rFonts w:asciiTheme="minorHAnsi" w:eastAsia="Calibri" w:hAnsiTheme="minorHAnsi" w:cs="Arial"/>
                <w:sz w:val="22"/>
                <w:szCs w:val="22"/>
                <w:u w:val="single"/>
              </w:rPr>
              <w:t>Good Governance</w:t>
            </w:r>
            <w:r w:rsidRPr="00E454A1">
              <w:rPr>
                <w:rFonts w:asciiTheme="minorHAnsi" w:eastAsia="Calibri" w:hAnsiTheme="minorHAnsi" w:cs="Arial"/>
                <w:sz w:val="22"/>
                <w:szCs w:val="22"/>
              </w:rPr>
              <w:t>:</w:t>
            </w:r>
            <w:r w:rsidRPr="00E454A1">
              <w:rPr>
                <w:rFonts w:asciiTheme="minorHAnsi" w:eastAsia="Calibri" w:hAnsiTheme="minorHAnsi" w:cs="Arial"/>
                <w:b/>
                <w:sz w:val="22"/>
                <w:szCs w:val="22"/>
              </w:rPr>
              <w:t xml:space="preserve"> </w:t>
            </w:r>
            <w:r w:rsidRPr="00EB2967">
              <w:rPr>
                <w:rFonts w:asciiTheme="minorHAnsi" w:eastAsia="MS Mincho" w:hAnsiTheme="minorHAnsi" w:cs="Arial"/>
                <w:color w:val="000000"/>
                <w:sz w:val="22"/>
                <w:szCs w:val="22"/>
                <w:lang w:val="en-IE" w:eastAsia="ja-JP"/>
              </w:rPr>
              <w:t>Governance systems that function with efficacy are an underlying assumption for GoT to achieve its development objectives and the delivery of essential basic services. The core governance reforms have been the principal mechanisms to improve such systems and processes to date.</w:t>
            </w:r>
            <w:r>
              <w:rPr>
                <w:rFonts w:asciiTheme="minorHAnsi" w:eastAsia="MS Mincho" w:hAnsiTheme="minorHAnsi" w:cs="Arial"/>
                <w:color w:val="000000"/>
                <w:sz w:val="22"/>
                <w:szCs w:val="22"/>
                <w:lang w:val="en-IE" w:eastAsia="ja-JP"/>
              </w:rPr>
              <w:t xml:space="preserve"> Progress in these programs has lately stalled, and</w:t>
            </w:r>
            <w:r w:rsidRPr="00674AF6">
              <w:rPr>
                <w:rFonts w:eastAsia="MS Mincho" w:cs="Arial"/>
                <w:color w:val="000000"/>
                <w:lang w:val="en-IE" w:eastAsia="ja-JP"/>
              </w:rPr>
              <w:t xml:space="preserve"> </w:t>
            </w:r>
            <w:proofErr w:type="spellStart"/>
            <w:r w:rsidRPr="00674AF6">
              <w:rPr>
                <w:rFonts w:asciiTheme="minorHAnsi" w:eastAsia="MS Mincho" w:hAnsiTheme="minorHAnsi" w:cstheme="minorHAnsi"/>
                <w:color w:val="000000"/>
                <w:sz w:val="22"/>
                <w:szCs w:val="22"/>
                <w:lang w:val="en-IE" w:eastAsia="ja-JP"/>
              </w:rPr>
              <w:t>GoT’s</w:t>
            </w:r>
            <w:proofErr w:type="spellEnd"/>
            <w:r w:rsidRPr="00674AF6">
              <w:rPr>
                <w:rFonts w:asciiTheme="minorHAnsi" w:eastAsia="MS Mincho" w:hAnsiTheme="minorHAnsi" w:cstheme="minorHAnsi"/>
                <w:color w:val="000000"/>
                <w:sz w:val="22"/>
                <w:szCs w:val="22"/>
                <w:lang w:val="en-IE" w:eastAsia="ja-JP"/>
              </w:rPr>
              <w:t xml:space="preserve"> own financial c</w:t>
            </w:r>
            <w:r w:rsidRPr="004F4CE5">
              <w:rPr>
                <w:rFonts w:asciiTheme="minorHAnsi" w:eastAsia="MS Mincho" w:hAnsiTheme="minorHAnsi" w:cstheme="minorHAnsi"/>
                <w:color w:val="000000"/>
                <w:sz w:val="22"/>
                <w:szCs w:val="22"/>
                <w:lang w:val="en-IE" w:eastAsia="ja-JP"/>
              </w:rPr>
              <w:t>ontributions to the programs ha</w:t>
            </w:r>
            <w:r>
              <w:rPr>
                <w:rFonts w:asciiTheme="minorHAnsi" w:eastAsia="MS Mincho" w:hAnsiTheme="minorHAnsi" w:cstheme="minorHAnsi"/>
                <w:color w:val="000000"/>
                <w:sz w:val="22"/>
                <w:szCs w:val="22"/>
                <w:lang w:val="en-IE" w:eastAsia="ja-JP"/>
              </w:rPr>
              <w:t>ve</w:t>
            </w:r>
            <w:r w:rsidRPr="00674AF6">
              <w:rPr>
                <w:rFonts w:asciiTheme="minorHAnsi" w:eastAsia="MS Mincho" w:hAnsiTheme="minorHAnsi" w:cstheme="minorHAnsi"/>
                <w:color w:val="000000"/>
                <w:sz w:val="22"/>
                <w:szCs w:val="22"/>
                <w:lang w:val="en-IE" w:eastAsia="ja-JP"/>
              </w:rPr>
              <w:t xml:space="preserve"> been limited</w:t>
            </w:r>
            <w:r>
              <w:rPr>
                <w:rFonts w:asciiTheme="minorHAnsi" w:eastAsia="MS Mincho" w:hAnsiTheme="minorHAnsi" w:cs="Arial"/>
                <w:color w:val="000000"/>
                <w:sz w:val="22"/>
                <w:szCs w:val="22"/>
                <w:lang w:val="en-IE" w:eastAsia="ja-JP"/>
              </w:rPr>
              <w:t xml:space="preserve">. In addition, many international indices measuring aspects of governance in Tanzania point to either stagnation or a slight decline in recent years (e.g. IIAG, BTI, WGI, </w:t>
            </w:r>
            <w:proofErr w:type="gramStart"/>
            <w:r>
              <w:rPr>
                <w:rFonts w:asciiTheme="minorHAnsi" w:eastAsia="MS Mincho" w:hAnsiTheme="minorHAnsi" w:cs="Arial"/>
                <w:color w:val="000000"/>
                <w:sz w:val="22"/>
                <w:szCs w:val="22"/>
                <w:lang w:val="en-IE" w:eastAsia="ja-JP"/>
              </w:rPr>
              <w:t>Ease</w:t>
            </w:r>
            <w:proofErr w:type="gramEnd"/>
            <w:r>
              <w:rPr>
                <w:rFonts w:asciiTheme="minorHAnsi" w:eastAsia="MS Mincho" w:hAnsiTheme="minorHAnsi" w:cs="Arial"/>
                <w:color w:val="000000"/>
                <w:sz w:val="22"/>
                <w:szCs w:val="22"/>
                <w:lang w:val="en-IE" w:eastAsia="ja-JP"/>
              </w:rPr>
              <w:t xml:space="preserve"> of doing business). T</w:t>
            </w:r>
            <w:r w:rsidRPr="00EB2967">
              <w:rPr>
                <w:rFonts w:asciiTheme="minorHAnsi" w:eastAsia="MS Mincho" w:hAnsiTheme="minorHAnsi" w:cs="Arial"/>
                <w:color w:val="000000"/>
                <w:sz w:val="22"/>
                <w:szCs w:val="22"/>
                <w:lang w:val="en-IE" w:eastAsia="ja-JP"/>
              </w:rPr>
              <w:t xml:space="preserve">he </w:t>
            </w:r>
            <w:proofErr w:type="spellStart"/>
            <w:r w:rsidRPr="00EB2967">
              <w:rPr>
                <w:rFonts w:asciiTheme="minorHAnsi" w:eastAsia="MS Mincho" w:hAnsiTheme="minorHAnsi" w:cs="Arial"/>
                <w:color w:val="000000"/>
                <w:sz w:val="22"/>
                <w:szCs w:val="22"/>
                <w:lang w:val="en-IE" w:eastAsia="ja-JP"/>
              </w:rPr>
              <w:t>GoT’s</w:t>
            </w:r>
            <w:proofErr w:type="spellEnd"/>
            <w:r w:rsidRPr="00EB2967">
              <w:rPr>
                <w:rFonts w:asciiTheme="minorHAnsi" w:eastAsia="MS Mincho" w:hAnsiTheme="minorHAnsi" w:cs="Arial"/>
                <w:color w:val="000000"/>
                <w:sz w:val="22"/>
                <w:szCs w:val="22"/>
                <w:lang w:val="en-IE" w:eastAsia="ja-JP"/>
              </w:rPr>
              <w:t xml:space="preserve"> </w:t>
            </w:r>
            <w:r>
              <w:rPr>
                <w:rFonts w:asciiTheme="minorHAnsi" w:eastAsia="MS Mincho" w:hAnsiTheme="minorHAnsi" w:cs="Arial"/>
                <w:color w:val="000000"/>
                <w:sz w:val="22"/>
                <w:szCs w:val="22"/>
                <w:lang w:val="en-IE" w:eastAsia="ja-JP"/>
              </w:rPr>
              <w:t>plans</w:t>
            </w:r>
            <w:r w:rsidRPr="00EB2967">
              <w:rPr>
                <w:rFonts w:asciiTheme="minorHAnsi" w:eastAsia="MS Mincho" w:hAnsiTheme="minorHAnsi" w:cs="Arial"/>
                <w:color w:val="000000"/>
                <w:sz w:val="22"/>
                <w:szCs w:val="22"/>
                <w:lang w:val="en-IE" w:eastAsia="ja-JP"/>
              </w:rPr>
              <w:t xml:space="preserve"> for improving governance systems after 2014 remain </w:t>
            </w:r>
            <w:r>
              <w:rPr>
                <w:rFonts w:asciiTheme="minorHAnsi" w:eastAsia="MS Mincho" w:hAnsiTheme="minorHAnsi" w:cs="Arial"/>
                <w:color w:val="000000"/>
                <w:sz w:val="22"/>
                <w:szCs w:val="22"/>
                <w:lang w:val="en-IE" w:eastAsia="ja-JP"/>
              </w:rPr>
              <w:t xml:space="preserve">currently </w:t>
            </w:r>
            <w:r w:rsidRPr="00EB2967">
              <w:rPr>
                <w:rFonts w:asciiTheme="minorHAnsi" w:eastAsia="MS Mincho" w:hAnsiTheme="minorHAnsi" w:cs="Arial"/>
                <w:color w:val="000000"/>
                <w:sz w:val="22"/>
                <w:szCs w:val="22"/>
                <w:lang w:val="en-IE" w:eastAsia="ja-JP"/>
              </w:rPr>
              <w:t>unclear.</w:t>
            </w:r>
          </w:p>
          <w:p w:rsidR="000B2E2F" w:rsidRPr="001B59A7" w:rsidRDefault="000B2E2F" w:rsidP="00906EC7">
            <w:pPr>
              <w:jc w:val="both"/>
              <w:rPr>
                <w:rFonts w:asciiTheme="minorHAnsi" w:eastAsia="Calibri" w:hAnsiTheme="minorHAnsi" w:cs="Arial"/>
                <w:b/>
                <w:sz w:val="22"/>
                <w:szCs w:val="22"/>
                <w:u w:val="single"/>
                <w:lang w:val="en-IE"/>
              </w:rPr>
            </w:pPr>
          </w:p>
          <w:p w:rsidR="000B2E2F" w:rsidRDefault="000B2E2F" w:rsidP="00906EC7">
            <w:pPr>
              <w:rPr>
                <w:rFonts w:asciiTheme="minorHAnsi" w:hAnsiTheme="minorHAnsi"/>
                <w:sz w:val="22"/>
                <w:szCs w:val="22"/>
              </w:rPr>
            </w:pPr>
            <w:r>
              <w:rPr>
                <w:rFonts w:asciiTheme="minorHAnsi" w:eastAsia="Calibri" w:hAnsiTheme="minorHAnsi" w:cs="Arial"/>
                <w:sz w:val="22"/>
                <w:szCs w:val="22"/>
                <w:u w:val="single"/>
              </w:rPr>
              <w:t>Corruption</w:t>
            </w:r>
            <w:r>
              <w:rPr>
                <w:rFonts w:asciiTheme="minorHAnsi" w:eastAsia="Calibri" w:hAnsiTheme="minorHAnsi" w:cs="Arial"/>
                <w:sz w:val="22"/>
                <w:szCs w:val="22"/>
              </w:rPr>
              <w:t xml:space="preserve">: The evidence reviewed shows a society where corruption is highly prevalent, and risk of corruption is substantial. After some positive movements in 2012, there were few significant developments in the fight against corruption in 2013. A high number of unresolved corruption cases remain in the courts. Under-use of administrative sanctions is also a central concern. Tanzanians perceive an increase in corruption over the past 4-5 years and rank Police and Judiciary as most corrupt sectors. Looking at a wider range of indicators, the overall trend on corruption appears static to declining. Recently published data sources (TI, Bertelsmann) show a slight decline in scores for </w:t>
            </w:r>
            <w:proofErr w:type="gramStart"/>
            <w:r>
              <w:rPr>
                <w:rFonts w:asciiTheme="minorHAnsi" w:eastAsia="Calibri" w:hAnsiTheme="minorHAnsi" w:cs="Arial"/>
                <w:sz w:val="22"/>
                <w:szCs w:val="22"/>
              </w:rPr>
              <w:t>Tanzania,</w:t>
            </w:r>
            <w:proofErr w:type="gramEnd"/>
            <w:r>
              <w:rPr>
                <w:rFonts w:asciiTheme="minorHAnsi" w:eastAsia="Calibri" w:hAnsiTheme="minorHAnsi" w:cs="Arial"/>
                <w:sz w:val="22"/>
                <w:szCs w:val="22"/>
              </w:rPr>
              <w:t xml:space="preserve"> and in most indicators Tanzania now hovers around the Sub-Saharan African average. The key question remains whether an active fight against corruption is in place; more evidence is required to provide a comprehensive judgement on this, taking into account the full range of action taken by the Government, beyond legal sanctions. </w:t>
            </w:r>
            <w:r w:rsidRPr="001B59A7">
              <w:rPr>
                <w:rFonts w:asciiTheme="minorHAnsi" w:hAnsiTheme="minorHAnsi" w:cstheme="minorHAnsi"/>
                <w:sz w:val="22"/>
                <w:szCs w:val="22"/>
              </w:rPr>
              <w:t>Ensuring an effective HLD as means for dialogue and information sharing will be critical in this regard</w:t>
            </w:r>
            <w:r>
              <w:rPr>
                <w:rFonts w:asciiTheme="minorHAnsi" w:hAnsiTheme="minorHAnsi" w:cstheme="minorHAnsi"/>
                <w:sz w:val="22"/>
                <w:szCs w:val="22"/>
              </w:rPr>
              <w:t>.</w:t>
            </w:r>
          </w:p>
          <w:p w:rsidR="000B2E2F" w:rsidRPr="00285E55" w:rsidRDefault="00786618" w:rsidP="00285E55">
            <w:pPr>
              <w:rPr>
                <w:rFonts w:asciiTheme="minorHAnsi" w:hAnsiTheme="minorHAnsi"/>
                <w:b/>
                <w:sz w:val="22"/>
                <w:szCs w:val="22"/>
              </w:rPr>
            </w:pPr>
            <w:r>
              <w:rPr>
                <w:rFonts w:asciiTheme="minorHAnsi" w:hAnsiTheme="minorHAnsi"/>
                <w:u w:val="single"/>
              </w:rPr>
              <w:t xml:space="preserve"> </w:t>
            </w:r>
          </w:p>
        </w:tc>
      </w:tr>
    </w:tbl>
    <w:p w:rsidR="00CA2D2C" w:rsidRDefault="00CA2D2C" w:rsidP="00DA4FA8">
      <w:pPr>
        <w:rPr>
          <w:rFonts w:asciiTheme="minorHAnsi" w:hAnsiTheme="minorHAnsi"/>
          <w:b/>
          <w:noProof/>
          <w:sz w:val="32"/>
          <w:szCs w:val="32"/>
          <w:u w:val="single"/>
          <w:lang w:eastAsia="en-GB"/>
        </w:rPr>
      </w:pPr>
    </w:p>
    <w:sectPr w:rsidR="00CA2D2C" w:rsidSect="00F636B2">
      <w:headerReference w:type="default" r:id="rId9"/>
      <w:footerReference w:type="default" r:id="rId10"/>
      <w:pgSz w:w="16838" w:h="11906" w:orient="landscape"/>
      <w:pgMar w:top="340" w:right="567" w:bottom="454" w:left="567"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92" w:rsidRDefault="00542D92" w:rsidP="009A6C43">
      <w:r>
        <w:separator/>
      </w:r>
    </w:p>
  </w:endnote>
  <w:endnote w:type="continuationSeparator" w:id="0">
    <w:p w:rsidR="00542D92" w:rsidRDefault="00542D92" w:rsidP="009A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24642"/>
      <w:docPartObj>
        <w:docPartGallery w:val="Page Numbers (Bottom of Page)"/>
        <w:docPartUnique/>
      </w:docPartObj>
    </w:sdtPr>
    <w:sdtEndPr>
      <w:rPr>
        <w:rFonts w:asciiTheme="minorHAnsi" w:hAnsiTheme="minorHAnsi"/>
        <w:noProof/>
        <w:sz w:val="22"/>
        <w:szCs w:val="22"/>
      </w:rPr>
    </w:sdtEndPr>
    <w:sdtContent>
      <w:p w:rsidR="00857C0A" w:rsidRPr="002C5009" w:rsidRDefault="00857C0A" w:rsidP="00682EA5">
        <w:pPr>
          <w:pStyle w:val="Footer"/>
          <w:jc w:val="center"/>
          <w:rPr>
            <w:rFonts w:asciiTheme="minorHAnsi" w:hAnsiTheme="minorHAnsi"/>
            <w:sz w:val="22"/>
            <w:szCs w:val="22"/>
          </w:rPr>
        </w:pPr>
        <w:r w:rsidRPr="002C5009">
          <w:rPr>
            <w:rFonts w:asciiTheme="minorHAnsi" w:hAnsiTheme="minorHAnsi"/>
            <w:sz w:val="22"/>
            <w:szCs w:val="22"/>
          </w:rPr>
          <w:fldChar w:fldCharType="begin"/>
        </w:r>
        <w:r w:rsidRPr="002C5009">
          <w:rPr>
            <w:rFonts w:asciiTheme="minorHAnsi" w:hAnsiTheme="minorHAnsi"/>
            <w:sz w:val="22"/>
            <w:szCs w:val="22"/>
          </w:rPr>
          <w:instrText xml:space="preserve"> PAGE   \* MERGEFORMAT </w:instrText>
        </w:r>
        <w:r w:rsidRPr="002C5009">
          <w:rPr>
            <w:rFonts w:asciiTheme="minorHAnsi" w:hAnsiTheme="minorHAnsi"/>
            <w:sz w:val="22"/>
            <w:szCs w:val="22"/>
          </w:rPr>
          <w:fldChar w:fldCharType="separate"/>
        </w:r>
        <w:r w:rsidR="00A2650D">
          <w:rPr>
            <w:rFonts w:asciiTheme="minorHAnsi" w:hAnsiTheme="minorHAnsi"/>
            <w:noProof/>
            <w:sz w:val="22"/>
            <w:szCs w:val="22"/>
          </w:rPr>
          <w:t>2</w:t>
        </w:r>
        <w:r w:rsidRPr="002C5009">
          <w:rPr>
            <w:rFonts w:asciiTheme="minorHAnsi" w:hAnsiTheme="minorHAnsi"/>
            <w:noProof/>
            <w:sz w:val="22"/>
            <w:szCs w:val="22"/>
          </w:rPr>
          <w:fldChar w:fldCharType="end"/>
        </w:r>
        <w:r w:rsidRPr="002C5009">
          <w:rPr>
            <w:rFonts w:asciiTheme="minorHAnsi" w:hAnsiTheme="minorHAnsi"/>
            <w:noProof/>
            <w:sz w:val="22"/>
            <w:szCs w:val="22"/>
          </w:rPr>
          <w:t xml:space="preserve">    </w:t>
        </w:r>
        <w:r w:rsidR="007E349A">
          <w:rPr>
            <w:rFonts w:asciiTheme="minorHAnsi" w:hAnsiTheme="minorHAnsi"/>
            <w:noProof/>
            <w:sz w:val="22"/>
            <w:szCs w:val="22"/>
          </w:rPr>
          <w:t>1</w:t>
        </w:r>
        <w:r w:rsidR="00B83B2B">
          <w:rPr>
            <w:rFonts w:asciiTheme="minorHAnsi" w:hAnsiTheme="minorHAnsi"/>
            <w:noProof/>
            <w:sz w:val="22"/>
            <w:szCs w:val="22"/>
          </w:rPr>
          <w:t>8</w:t>
        </w:r>
        <w:r>
          <w:rPr>
            <w:rFonts w:asciiTheme="minorHAnsi" w:hAnsiTheme="minorHAnsi"/>
            <w:noProof/>
            <w:sz w:val="22"/>
            <w:szCs w:val="22"/>
          </w:rPr>
          <w:t>/</w:t>
        </w:r>
        <w:r w:rsidRPr="002C5009">
          <w:rPr>
            <w:rFonts w:asciiTheme="minorHAnsi" w:hAnsiTheme="minorHAnsi"/>
            <w:noProof/>
            <w:sz w:val="22"/>
            <w:szCs w:val="22"/>
          </w:rPr>
          <w:t>0</w:t>
        </w:r>
        <w:r w:rsidR="009076DC">
          <w:rPr>
            <w:rFonts w:asciiTheme="minorHAnsi" w:hAnsiTheme="minorHAnsi"/>
            <w:noProof/>
            <w:sz w:val="22"/>
            <w:szCs w:val="22"/>
          </w:rPr>
          <w:t>3</w:t>
        </w:r>
        <w:r>
          <w:rPr>
            <w:rFonts w:asciiTheme="minorHAnsi" w:hAnsiTheme="minorHAnsi"/>
            <w:noProof/>
            <w:sz w:val="22"/>
            <w:szCs w:val="22"/>
          </w:rPr>
          <w:t>/14</w:t>
        </w:r>
      </w:p>
    </w:sdtContent>
  </w:sdt>
  <w:p w:rsidR="00857C0A" w:rsidRDefault="00857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92" w:rsidRDefault="00542D92" w:rsidP="009A6C43">
      <w:r>
        <w:separator/>
      </w:r>
    </w:p>
  </w:footnote>
  <w:footnote w:type="continuationSeparator" w:id="0">
    <w:p w:rsidR="00542D92" w:rsidRDefault="00542D92" w:rsidP="009A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0A" w:rsidRDefault="00857C0A">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D78"/>
    <w:multiLevelType w:val="hybridMultilevel"/>
    <w:tmpl w:val="B8A894A8"/>
    <w:lvl w:ilvl="0" w:tplc="9702C980">
      <w:start w:val="4"/>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26BAD"/>
    <w:multiLevelType w:val="hybridMultilevel"/>
    <w:tmpl w:val="5016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F65BA"/>
    <w:multiLevelType w:val="hybridMultilevel"/>
    <w:tmpl w:val="29C6DF80"/>
    <w:lvl w:ilvl="0" w:tplc="26E45722">
      <w:start w:val="6"/>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C85D91"/>
    <w:multiLevelType w:val="hybridMultilevel"/>
    <w:tmpl w:val="B0D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2F2ADB"/>
    <w:multiLevelType w:val="hybridMultilevel"/>
    <w:tmpl w:val="C01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A7270"/>
    <w:multiLevelType w:val="hybridMultilevel"/>
    <w:tmpl w:val="012E9C32"/>
    <w:lvl w:ilvl="0" w:tplc="9312C374">
      <w:start w:val="1"/>
      <w:numFmt w:val="bullet"/>
      <w:lvlText w:val="•"/>
      <w:lvlJc w:val="left"/>
      <w:pPr>
        <w:tabs>
          <w:tab w:val="num" w:pos="720"/>
        </w:tabs>
        <w:ind w:left="720" w:hanging="360"/>
      </w:pPr>
      <w:rPr>
        <w:rFonts w:ascii="Arial" w:hAnsi="Arial" w:hint="default"/>
      </w:rPr>
    </w:lvl>
    <w:lvl w:ilvl="1" w:tplc="E498400C" w:tentative="1">
      <w:start w:val="1"/>
      <w:numFmt w:val="bullet"/>
      <w:lvlText w:val="•"/>
      <w:lvlJc w:val="left"/>
      <w:pPr>
        <w:tabs>
          <w:tab w:val="num" w:pos="1440"/>
        </w:tabs>
        <w:ind w:left="1440" w:hanging="360"/>
      </w:pPr>
      <w:rPr>
        <w:rFonts w:ascii="Arial" w:hAnsi="Arial" w:hint="default"/>
      </w:rPr>
    </w:lvl>
    <w:lvl w:ilvl="2" w:tplc="77E062B8" w:tentative="1">
      <w:start w:val="1"/>
      <w:numFmt w:val="bullet"/>
      <w:lvlText w:val="•"/>
      <w:lvlJc w:val="left"/>
      <w:pPr>
        <w:tabs>
          <w:tab w:val="num" w:pos="2160"/>
        </w:tabs>
        <w:ind w:left="2160" w:hanging="360"/>
      </w:pPr>
      <w:rPr>
        <w:rFonts w:ascii="Arial" w:hAnsi="Arial" w:hint="default"/>
      </w:rPr>
    </w:lvl>
    <w:lvl w:ilvl="3" w:tplc="C80AA4E0" w:tentative="1">
      <w:start w:val="1"/>
      <w:numFmt w:val="bullet"/>
      <w:lvlText w:val="•"/>
      <w:lvlJc w:val="left"/>
      <w:pPr>
        <w:tabs>
          <w:tab w:val="num" w:pos="2880"/>
        </w:tabs>
        <w:ind w:left="2880" w:hanging="360"/>
      </w:pPr>
      <w:rPr>
        <w:rFonts w:ascii="Arial" w:hAnsi="Arial" w:hint="default"/>
      </w:rPr>
    </w:lvl>
    <w:lvl w:ilvl="4" w:tplc="9F38AE0A" w:tentative="1">
      <w:start w:val="1"/>
      <w:numFmt w:val="bullet"/>
      <w:lvlText w:val="•"/>
      <w:lvlJc w:val="left"/>
      <w:pPr>
        <w:tabs>
          <w:tab w:val="num" w:pos="3600"/>
        </w:tabs>
        <w:ind w:left="3600" w:hanging="360"/>
      </w:pPr>
      <w:rPr>
        <w:rFonts w:ascii="Arial" w:hAnsi="Arial" w:hint="default"/>
      </w:rPr>
    </w:lvl>
    <w:lvl w:ilvl="5" w:tplc="2102B35A" w:tentative="1">
      <w:start w:val="1"/>
      <w:numFmt w:val="bullet"/>
      <w:lvlText w:val="•"/>
      <w:lvlJc w:val="left"/>
      <w:pPr>
        <w:tabs>
          <w:tab w:val="num" w:pos="4320"/>
        </w:tabs>
        <w:ind w:left="4320" w:hanging="360"/>
      </w:pPr>
      <w:rPr>
        <w:rFonts w:ascii="Arial" w:hAnsi="Arial" w:hint="default"/>
      </w:rPr>
    </w:lvl>
    <w:lvl w:ilvl="6" w:tplc="37BCBAA8" w:tentative="1">
      <w:start w:val="1"/>
      <w:numFmt w:val="bullet"/>
      <w:lvlText w:val="•"/>
      <w:lvlJc w:val="left"/>
      <w:pPr>
        <w:tabs>
          <w:tab w:val="num" w:pos="5040"/>
        </w:tabs>
        <w:ind w:left="5040" w:hanging="360"/>
      </w:pPr>
      <w:rPr>
        <w:rFonts w:ascii="Arial" w:hAnsi="Arial" w:hint="default"/>
      </w:rPr>
    </w:lvl>
    <w:lvl w:ilvl="7" w:tplc="3F94889C" w:tentative="1">
      <w:start w:val="1"/>
      <w:numFmt w:val="bullet"/>
      <w:lvlText w:val="•"/>
      <w:lvlJc w:val="left"/>
      <w:pPr>
        <w:tabs>
          <w:tab w:val="num" w:pos="5760"/>
        </w:tabs>
        <w:ind w:left="5760" w:hanging="360"/>
      </w:pPr>
      <w:rPr>
        <w:rFonts w:ascii="Arial" w:hAnsi="Arial" w:hint="default"/>
      </w:rPr>
    </w:lvl>
    <w:lvl w:ilvl="8" w:tplc="6838A4D0" w:tentative="1">
      <w:start w:val="1"/>
      <w:numFmt w:val="bullet"/>
      <w:lvlText w:val="•"/>
      <w:lvlJc w:val="left"/>
      <w:pPr>
        <w:tabs>
          <w:tab w:val="num" w:pos="6480"/>
        </w:tabs>
        <w:ind w:left="6480" w:hanging="360"/>
      </w:pPr>
      <w:rPr>
        <w:rFonts w:ascii="Arial" w:hAnsi="Arial" w:hint="default"/>
      </w:rPr>
    </w:lvl>
  </w:abstractNum>
  <w:abstractNum w:abstractNumId="6">
    <w:nsid w:val="1227110B"/>
    <w:multiLevelType w:val="hybridMultilevel"/>
    <w:tmpl w:val="2EFA8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A40931"/>
    <w:multiLevelType w:val="hybridMultilevel"/>
    <w:tmpl w:val="E01055E6"/>
    <w:lvl w:ilvl="0" w:tplc="B03EB154">
      <w:start w:val="1"/>
      <w:numFmt w:val="decimal"/>
      <w:lvlText w:val="%1."/>
      <w:lvlJc w:val="left"/>
      <w:pPr>
        <w:ind w:left="360" w:hanging="360"/>
      </w:pPr>
      <w:rPr>
        <w:rFonts w:asciiTheme="minorHAnsi" w:hAnsiTheme="minorHAnsi" w:cs="Times New Roman"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F5DC1"/>
    <w:multiLevelType w:val="hybridMultilevel"/>
    <w:tmpl w:val="FEAA59F4"/>
    <w:lvl w:ilvl="0" w:tplc="DB8E8A1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3A7EEA"/>
    <w:multiLevelType w:val="hybridMultilevel"/>
    <w:tmpl w:val="47B0A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4DD5BB2"/>
    <w:multiLevelType w:val="hybridMultilevel"/>
    <w:tmpl w:val="A928D226"/>
    <w:lvl w:ilvl="0" w:tplc="CD6C39E6">
      <w:start w:val="1"/>
      <w:numFmt w:val="decimal"/>
      <w:lvlText w:val="%1."/>
      <w:lvlJc w:val="left"/>
      <w:pPr>
        <w:ind w:left="360" w:hanging="360"/>
      </w:pPr>
      <w:rPr>
        <w:rFonts w:eastAsiaTheme="minorEastAsia" w:hint="default"/>
        <w:color w:val="000000" w:themeColor="text1"/>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5908C7"/>
    <w:multiLevelType w:val="hybridMultilevel"/>
    <w:tmpl w:val="F2C8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E77DF"/>
    <w:multiLevelType w:val="hybridMultilevel"/>
    <w:tmpl w:val="D9820112"/>
    <w:lvl w:ilvl="0" w:tplc="1AA48944">
      <w:start w:val="1"/>
      <w:numFmt w:val="lowerRoman"/>
      <w:lvlText w:val="%1."/>
      <w:lvlJc w:val="left"/>
      <w:pPr>
        <w:tabs>
          <w:tab w:val="num" w:pos="45"/>
        </w:tabs>
        <w:ind w:left="765" w:hanging="360"/>
      </w:pPr>
      <w:rPr>
        <w:rFonts w:ascii="Arial" w:eastAsia="Times New Roman" w:hAnsi="Arial"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3">
    <w:nsid w:val="2D1E1C6B"/>
    <w:multiLevelType w:val="hybridMultilevel"/>
    <w:tmpl w:val="E7AEA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D067B5"/>
    <w:multiLevelType w:val="hybridMultilevel"/>
    <w:tmpl w:val="F97A7DBA"/>
    <w:lvl w:ilvl="0" w:tplc="82CA10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BCA7000"/>
    <w:multiLevelType w:val="hybridMultilevel"/>
    <w:tmpl w:val="4EFCAD00"/>
    <w:lvl w:ilvl="0" w:tplc="27AE982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1EF3A78"/>
    <w:multiLevelType w:val="hybridMultilevel"/>
    <w:tmpl w:val="1ADCA8CE"/>
    <w:lvl w:ilvl="0" w:tplc="B6A0C646">
      <w:start w:val="1"/>
      <w:numFmt w:val="decimal"/>
      <w:lvlText w:val="%1)"/>
      <w:lvlJc w:val="left"/>
      <w:pPr>
        <w:ind w:left="360" w:hanging="360"/>
      </w:pPr>
      <w:rPr>
        <w:rFonts w:cs="Times New Roman" w:hint="default"/>
        <w:sz w:val="22"/>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7">
    <w:nsid w:val="436E03C9"/>
    <w:multiLevelType w:val="hybridMultilevel"/>
    <w:tmpl w:val="267848FA"/>
    <w:lvl w:ilvl="0" w:tplc="FC10B7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3C64964"/>
    <w:multiLevelType w:val="hybridMultilevel"/>
    <w:tmpl w:val="17C2DF3A"/>
    <w:lvl w:ilvl="0" w:tplc="1C9274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260FDD"/>
    <w:multiLevelType w:val="hybridMultilevel"/>
    <w:tmpl w:val="AD4830E6"/>
    <w:lvl w:ilvl="0" w:tplc="5FC81452">
      <w:start w:val="1"/>
      <w:numFmt w:val="bullet"/>
      <w:lvlText w:val="•"/>
      <w:lvlJc w:val="left"/>
      <w:pPr>
        <w:tabs>
          <w:tab w:val="num" w:pos="720"/>
        </w:tabs>
        <w:ind w:left="720" w:hanging="360"/>
      </w:pPr>
      <w:rPr>
        <w:rFonts w:ascii="Arial" w:hAnsi="Arial" w:hint="default"/>
      </w:rPr>
    </w:lvl>
    <w:lvl w:ilvl="1" w:tplc="16121ED0" w:tentative="1">
      <w:start w:val="1"/>
      <w:numFmt w:val="bullet"/>
      <w:lvlText w:val="•"/>
      <w:lvlJc w:val="left"/>
      <w:pPr>
        <w:tabs>
          <w:tab w:val="num" w:pos="1440"/>
        </w:tabs>
        <w:ind w:left="1440" w:hanging="360"/>
      </w:pPr>
      <w:rPr>
        <w:rFonts w:ascii="Arial" w:hAnsi="Arial" w:hint="default"/>
      </w:rPr>
    </w:lvl>
    <w:lvl w:ilvl="2" w:tplc="893667A4" w:tentative="1">
      <w:start w:val="1"/>
      <w:numFmt w:val="bullet"/>
      <w:lvlText w:val="•"/>
      <w:lvlJc w:val="left"/>
      <w:pPr>
        <w:tabs>
          <w:tab w:val="num" w:pos="2160"/>
        </w:tabs>
        <w:ind w:left="2160" w:hanging="360"/>
      </w:pPr>
      <w:rPr>
        <w:rFonts w:ascii="Arial" w:hAnsi="Arial" w:hint="default"/>
      </w:rPr>
    </w:lvl>
    <w:lvl w:ilvl="3" w:tplc="62D85EEA" w:tentative="1">
      <w:start w:val="1"/>
      <w:numFmt w:val="bullet"/>
      <w:lvlText w:val="•"/>
      <w:lvlJc w:val="left"/>
      <w:pPr>
        <w:tabs>
          <w:tab w:val="num" w:pos="2880"/>
        </w:tabs>
        <w:ind w:left="2880" w:hanging="360"/>
      </w:pPr>
      <w:rPr>
        <w:rFonts w:ascii="Arial" w:hAnsi="Arial" w:hint="default"/>
      </w:rPr>
    </w:lvl>
    <w:lvl w:ilvl="4" w:tplc="D6201936" w:tentative="1">
      <w:start w:val="1"/>
      <w:numFmt w:val="bullet"/>
      <w:lvlText w:val="•"/>
      <w:lvlJc w:val="left"/>
      <w:pPr>
        <w:tabs>
          <w:tab w:val="num" w:pos="3600"/>
        </w:tabs>
        <w:ind w:left="3600" w:hanging="360"/>
      </w:pPr>
      <w:rPr>
        <w:rFonts w:ascii="Arial" w:hAnsi="Arial" w:hint="default"/>
      </w:rPr>
    </w:lvl>
    <w:lvl w:ilvl="5" w:tplc="777E8A1E" w:tentative="1">
      <w:start w:val="1"/>
      <w:numFmt w:val="bullet"/>
      <w:lvlText w:val="•"/>
      <w:lvlJc w:val="left"/>
      <w:pPr>
        <w:tabs>
          <w:tab w:val="num" w:pos="4320"/>
        </w:tabs>
        <w:ind w:left="4320" w:hanging="360"/>
      </w:pPr>
      <w:rPr>
        <w:rFonts w:ascii="Arial" w:hAnsi="Arial" w:hint="default"/>
      </w:rPr>
    </w:lvl>
    <w:lvl w:ilvl="6" w:tplc="32F2E98E" w:tentative="1">
      <w:start w:val="1"/>
      <w:numFmt w:val="bullet"/>
      <w:lvlText w:val="•"/>
      <w:lvlJc w:val="left"/>
      <w:pPr>
        <w:tabs>
          <w:tab w:val="num" w:pos="5040"/>
        </w:tabs>
        <w:ind w:left="5040" w:hanging="360"/>
      </w:pPr>
      <w:rPr>
        <w:rFonts w:ascii="Arial" w:hAnsi="Arial" w:hint="default"/>
      </w:rPr>
    </w:lvl>
    <w:lvl w:ilvl="7" w:tplc="AD82D964" w:tentative="1">
      <w:start w:val="1"/>
      <w:numFmt w:val="bullet"/>
      <w:lvlText w:val="•"/>
      <w:lvlJc w:val="left"/>
      <w:pPr>
        <w:tabs>
          <w:tab w:val="num" w:pos="5760"/>
        </w:tabs>
        <w:ind w:left="5760" w:hanging="360"/>
      </w:pPr>
      <w:rPr>
        <w:rFonts w:ascii="Arial" w:hAnsi="Arial" w:hint="default"/>
      </w:rPr>
    </w:lvl>
    <w:lvl w:ilvl="8" w:tplc="70D07E90" w:tentative="1">
      <w:start w:val="1"/>
      <w:numFmt w:val="bullet"/>
      <w:lvlText w:val="•"/>
      <w:lvlJc w:val="left"/>
      <w:pPr>
        <w:tabs>
          <w:tab w:val="num" w:pos="6480"/>
        </w:tabs>
        <w:ind w:left="6480" w:hanging="360"/>
      </w:pPr>
      <w:rPr>
        <w:rFonts w:ascii="Arial" w:hAnsi="Arial" w:hint="default"/>
      </w:rPr>
    </w:lvl>
  </w:abstractNum>
  <w:abstractNum w:abstractNumId="20">
    <w:nsid w:val="49E40129"/>
    <w:multiLevelType w:val="hybridMultilevel"/>
    <w:tmpl w:val="FF305AD4"/>
    <w:lvl w:ilvl="0" w:tplc="EC504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8538C"/>
    <w:multiLevelType w:val="hybridMultilevel"/>
    <w:tmpl w:val="BC020F2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24B443A"/>
    <w:multiLevelType w:val="hybridMultilevel"/>
    <w:tmpl w:val="546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46156"/>
    <w:multiLevelType w:val="hybridMultilevel"/>
    <w:tmpl w:val="ED0213FE"/>
    <w:lvl w:ilvl="0" w:tplc="0409001B">
      <w:start w:val="1"/>
      <w:numFmt w:val="lowerRoman"/>
      <w:lvlText w:val="%1."/>
      <w:lvlJc w:val="right"/>
      <w:pPr>
        <w:tabs>
          <w:tab w:val="num" w:pos="720"/>
        </w:tabs>
        <w:ind w:left="720" w:hanging="360"/>
      </w:pPr>
      <w:rPr>
        <w:rFonts w:cs="Times New Roman" w:hint="default"/>
      </w:rPr>
    </w:lvl>
    <w:lvl w:ilvl="1" w:tplc="1AA48944">
      <w:start w:val="1"/>
      <w:numFmt w:val="lowerRoman"/>
      <w:lvlText w:val="%2."/>
      <w:lvlJc w:val="left"/>
      <w:pPr>
        <w:tabs>
          <w:tab w:val="num" w:pos="720"/>
        </w:tabs>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A0C9A"/>
    <w:multiLevelType w:val="hybridMultilevel"/>
    <w:tmpl w:val="F9FCBDD2"/>
    <w:lvl w:ilvl="0" w:tplc="7570B680">
      <w:start w:val="3"/>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9920F4E"/>
    <w:multiLevelType w:val="hybridMultilevel"/>
    <w:tmpl w:val="689ECD60"/>
    <w:lvl w:ilvl="0" w:tplc="94D6763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F630AF"/>
    <w:multiLevelType w:val="hybridMultilevel"/>
    <w:tmpl w:val="6F58EAA2"/>
    <w:lvl w:ilvl="0" w:tplc="67C45B2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DE23F93"/>
    <w:multiLevelType w:val="hybridMultilevel"/>
    <w:tmpl w:val="4F528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6A32B0"/>
    <w:multiLevelType w:val="hybridMultilevel"/>
    <w:tmpl w:val="B9022FBE"/>
    <w:lvl w:ilvl="0" w:tplc="1F94BEF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29254B"/>
    <w:multiLevelType w:val="hybridMultilevel"/>
    <w:tmpl w:val="BA12FB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E607A6"/>
    <w:multiLevelType w:val="hybridMultilevel"/>
    <w:tmpl w:val="9E906A2E"/>
    <w:lvl w:ilvl="0" w:tplc="E60AA1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E85620"/>
    <w:multiLevelType w:val="hybridMultilevel"/>
    <w:tmpl w:val="B3DA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1"/>
  </w:num>
  <w:num w:numId="3">
    <w:abstractNumId w:val="6"/>
  </w:num>
  <w:num w:numId="4">
    <w:abstractNumId w:val="3"/>
  </w:num>
  <w:num w:numId="5">
    <w:abstractNumId w:val="16"/>
  </w:num>
  <w:num w:numId="6">
    <w:abstractNumId w:val="19"/>
  </w:num>
  <w:num w:numId="7">
    <w:abstractNumId w:val="5"/>
  </w:num>
  <w:num w:numId="8">
    <w:abstractNumId w:val="21"/>
  </w:num>
  <w:num w:numId="9">
    <w:abstractNumId w:val="27"/>
  </w:num>
  <w:num w:numId="10">
    <w:abstractNumId w:val="24"/>
  </w:num>
  <w:num w:numId="11">
    <w:abstractNumId w:val="11"/>
  </w:num>
  <w:num w:numId="12">
    <w:abstractNumId w:val="29"/>
  </w:num>
  <w:num w:numId="13">
    <w:abstractNumId w:val="9"/>
  </w:num>
  <w:num w:numId="14">
    <w:abstractNumId w:val="14"/>
  </w:num>
  <w:num w:numId="15">
    <w:abstractNumId w:val="17"/>
  </w:num>
  <w:num w:numId="16">
    <w:abstractNumId w:val="8"/>
  </w:num>
  <w:num w:numId="17">
    <w:abstractNumId w:val="30"/>
  </w:num>
  <w:num w:numId="18">
    <w:abstractNumId w:val="25"/>
  </w:num>
  <w:num w:numId="19">
    <w:abstractNumId w:val="23"/>
  </w:num>
  <w:num w:numId="20">
    <w:abstractNumId w:val="26"/>
  </w:num>
  <w:num w:numId="21">
    <w:abstractNumId w:val="12"/>
  </w:num>
  <w:num w:numId="22">
    <w:abstractNumId w:val="28"/>
  </w:num>
  <w:num w:numId="23">
    <w:abstractNumId w:val="15"/>
  </w:num>
  <w:num w:numId="24">
    <w:abstractNumId w:val="0"/>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4"/>
  </w:num>
  <w:num w:numId="36">
    <w:abstractNumId w:val="3"/>
    <w:lvlOverride w:ilvl="0"/>
    <w:lvlOverride w:ilvl="1"/>
    <w:lvlOverride w:ilvl="2"/>
    <w:lvlOverride w:ilvl="3"/>
    <w:lvlOverride w:ilvl="4"/>
    <w:lvlOverride w:ilvl="5"/>
    <w:lvlOverride w:ilvl="6"/>
    <w:lvlOverride w:ilvl="7"/>
    <w:lvlOverride w:ilvl="8"/>
  </w:num>
  <w:num w:numId="37">
    <w:abstractNumId w:val="10"/>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E7A94"/>
    <w:rsid w:val="0000052F"/>
    <w:rsid w:val="00001554"/>
    <w:rsid w:val="0001094E"/>
    <w:rsid w:val="000117E0"/>
    <w:rsid w:val="00014DDC"/>
    <w:rsid w:val="00016479"/>
    <w:rsid w:val="00017D3D"/>
    <w:rsid w:val="00021A77"/>
    <w:rsid w:val="000250BD"/>
    <w:rsid w:val="00034367"/>
    <w:rsid w:val="00034613"/>
    <w:rsid w:val="00040009"/>
    <w:rsid w:val="000442A4"/>
    <w:rsid w:val="00045CBC"/>
    <w:rsid w:val="00050506"/>
    <w:rsid w:val="00050A1B"/>
    <w:rsid w:val="00050A1D"/>
    <w:rsid w:val="00051324"/>
    <w:rsid w:val="00053CDA"/>
    <w:rsid w:val="00055913"/>
    <w:rsid w:val="0005731A"/>
    <w:rsid w:val="00067864"/>
    <w:rsid w:val="000717F1"/>
    <w:rsid w:val="00080E71"/>
    <w:rsid w:val="000818D3"/>
    <w:rsid w:val="00082B64"/>
    <w:rsid w:val="00091EA0"/>
    <w:rsid w:val="00093C28"/>
    <w:rsid w:val="000A0554"/>
    <w:rsid w:val="000A08BF"/>
    <w:rsid w:val="000A70CB"/>
    <w:rsid w:val="000B27A0"/>
    <w:rsid w:val="000B2E2F"/>
    <w:rsid w:val="000B5FD2"/>
    <w:rsid w:val="000B7890"/>
    <w:rsid w:val="000B79B5"/>
    <w:rsid w:val="000C433C"/>
    <w:rsid w:val="000C7107"/>
    <w:rsid w:val="000C7626"/>
    <w:rsid w:val="000C771B"/>
    <w:rsid w:val="000C7724"/>
    <w:rsid w:val="000D20C7"/>
    <w:rsid w:val="000E133F"/>
    <w:rsid w:val="000E4A63"/>
    <w:rsid w:val="000E7526"/>
    <w:rsid w:val="000F61A8"/>
    <w:rsid w:val="00105619"/>
    <w:rsid w:val="00106018"/>
    <w:rsid w:val="001064ED"/>
    <w:rsid w:val="00115B45"/>
    <w:rsid w:val="0014288E"/>
    <w:rsid w:val="00153D7D"/>
    <w:rsid w:val="001542DD"/>
    <w:rsid w:val="00161D8B"/>
    <w:rsid w:val="00164380"/>
    <w:rsid w:val="00164D1A"/>
    <w:rsid w:val="0017239E"/>
    <w:rsid w:val="00173E92"/>
    <w:rsid w:val="00174131"/>
    <w:rsid w:val="00177DFC"/>
    <w:rsid w:val="00182632"/>
    <w:rsid w:val="00182A19"/>
    <w:rsid w:val="00182C8E"/>
    <w:rsid w:val="00183026"/>
    <w:rsid w:val="001901B1"/>
    <w:rsid w:val="00192900"/>
    <w:rsid w:val="0019361B"/>
    <w:rsid w:val="001947BE"/>
    <w:rsid w:val="001A16AA"/>
    <w:rsid w:val="001B0BF5"/>
    <w:rsid w:val="001B32D2"/>
    <w:rsid w:val="001B4136"/>
    <w:rsid w:val="001B5C19"/>
    <w:rsid w:val="001B7659"/>
    <w:rsid w:val="001C00DF"/>
    <w:rsid w:val="001C1DEC"/>
    <w:rsid w:val="001D0650"/>
    <w:rsid w:val="001D0736"/>
    <w:rsid w:val="001D1E08"/>
    <w:rsid w:val="001D26BB"/>
    <w:rsid w:val="001D6FA8"/>
    <w:rsid w:val="001E11BF"/>
    <w:rsid w:val="001E1CC2"/>
    <w:rsid w:val="001E637A"/>
    <w:rsid w:val="001E652D"/>
    <w:rsid w:val="001E7761"/>
    <w:rsid w:val="001E7A94"/>
    <w:rsid w:val="001F12F8"/>
    <w:rsid w:val="001F1347"/>
    <w:rsid w:val="002003AC"/>
    <w:rsid w:val="002019D3"/>
    <w:rsid w:val="00204ED3"/>
    <w:rsid w:val="00206A86"/>
    <w:rsid w:val="00211CD7"/>
    <w:rsid w:val="00215A65"/>
    <w:rsid w:val="0022075E"/>
    <w:rsid w:val="00222A7F"/>
    <w:rsid w:val="0022549F"/>
    <w:rsid w:val="00226673"/>
    <w:rsid w:val="00233B72"/>
    <w:rsid w:val="00233F6F"/>
    <w:rsid w:val="00234E51"/>
    <w:rsid w:val="00237C8E"/>
    <w:rsid w:val="0024111C"/>
    <w:rsid w:val="002428B6"/>
    <w:rsid w:val="00250B60"/>
    <w:rsid w:val="0026029C"/>
    <w:rsid w:val="00260D6E"/>
    <w:rsid w:val="00262320"/>
    <w:rsid w:val="0026776D"/>
    <w:rsid w:val="00275F75"/>
    <w:rsid w:val="00277706"/>
    <w:rsid w:val="00284C9D"/>
    <w:rsid w:val="00285E55"/>
    <w:rsid w:val="00286EDA"/>
    <w:rsid w:val="002918D7"/>
    <w:rsid w:val="00292A14"/>
    <w:rsid w:val="002970AB"/>
    <w:rsid w:val="002A1F47"/>
    <w:rsid w:val="002A63EB"/>
    <w:rsid w:val="002A7D6C"/>
    <w:rsid w:val="002B06A7"/>
    <w:rsid w:val="002B4BAE"/>
    <w:rsid w:val="002B649E"/>
    <w:rsid w:val="002B6DD7"/>
    <w:rsid w:val="002C5009"/>
    <w:rsid w:val="002D0C18"/>
    <w:rsid w:val="002E2DA3"/>
    <w:rsid w:val="002E3244"/>
    <w:rsid w:val="002E5276"/>
    <w:rsid w:val="002E758D"/>
    <w:rsid w:val="002F2FAB"/>
    <w:rsid w:val="002F5D41"/>
    <w:rsid w:val="0031043A"/>
    <w:rsid w:val="003137CF"/>
    <w:rsid w:val="00314F1C"/>
    <w:rsid w:val="003228C5"/>
    <w:rsid w:val="00324425"/>
    <w:rsid w:val="0032791D"/>
    <w:rsid w:val="00333BEF"/>
    <w:rsid w:val="003344ED"/>
    <w:rsid w:val="00334E7D"/>
    <w:rsid w:val="00345CAB"/>
    <w:rsid w:val="003505F7"/>
    <w:rsid w:val="00350864"/>
    <w:rsid w:val="00352E70"/>
    <w:rsid w:val="003536B0"/>
    <w:rsid w:val="003537E5"/>
    <w:rsid w:val="00353DE1"/>
    <w:rsid w:val="003564D1"/>
    <w:rsid w:val="00361FB8"/>
    <w:rsid w:val="00363671"/>
    <w:rsid w:val="003731F2"/>
    <w:rsid w:val="00377C36"/>
    <w:rsid w:val="00384FB1"/>
    <w:rsid w:val="00390F96"/>
    <w:rsid w:val="00393B4F"/>
    <w:rsid w:val="00395F37"/>
    <w:rsid w:val="003A1953"/>
    <w:rsid w:val="003B0226"/>
    <w:rsid w:val="003B25EC"/>
    <w:rsid w:val="003B2880"/>
    <w:rsid w:val="003B4CEB"/>
    <w:rsid w:val="003B4D34"/>
    <w:rsid w:val="003C0F38"/>
    <w:rsid w:val="003C2B37"/>
    <w:rsid w:val="003C2F6B"/>
    <w:rsid w:val="003C4BEB"/>
    <w:rsid w:val="003C575E"/>
    <w:rsid w:val="003C67DC"/>
    <w:rsid w:val="003C7A36"/>
    <w:rsid w:val="003D1A16"/>
    <w:rsid w:val="003D44FB"/>
    <w:rsid w:val="003E004A"/>
    <w:rsid w:val="003E0138"/>
    <w:rsid w:val="003E4257"/>
    <w:rsid w:val="003E4836"/>
    <w:rsid w:val="003E5D83"/>
    <w:rsid w:val="003E78B3"/>
    <w:rsid w:val="003E7AE4"/>
    <w:rsid w:val="003F47FA"/>
    <w:rsid w:val="00402326"/>
    <w:rsid w:val="0040532B"/>
    <w:rsid w:val="00414281"/>
    <w:rsid w:val="00414289"/>
    <w:rsid w:val="0041674D"/>
    <w:rsid w:val="00417C52"/>
    <w:rsid w:val="00422B04"/>
    <w:rsid w:val="00430A2E"/>
    <w:rsid w:val="00437BD1"/>
    <w:rsid w:val="004407FE"/>
    <w:rsid w:val="00440907"/>
    <w:rsid w:val="00443443"/>
    <w:rsid w:val="00443B52"/>
    <w:rsid w:val="00445EAE"/>
    <w:rsid w:val="00450660"/>
    <w:rsid w:val="00456353"/>
    <w:rsid w:val="004563FE"/>
    <w:rsid w:val="00461FDF"/>
    <w:rsid w:val="00464575"/>
    <w:rsid w:val="00465DD0"/>
    <w:rsid w:val="004664F2"/>
    <w:rsid w:val="004740FA"/>
    <w:rsid w:val="004779B8"/>
    <w:rsid w:val="00487A8A"/>
    <w:rsid w:val="00492C12"/>
    <w:rsid w:val="0049667B"/>
    <w:rsid w:val="004974FB"/>
    <w:rsid w:val="004A24E6"/>
    <w:rsid w:val="004A64CB"/>
    <w:rsid w:val="004A68CC"/>
    <w:rsid w:val="004B1312"/>
    <w:rsid w:val="004C0B4D"/>
    <w:rsid w:val="004C4422"/>
    <w:rsid w:val="004C59EE"/>
    <w:rsid w:val="004D1CB6"/>
    <w:rsid w:val="004D2512"/>
    <w:rsid w:val="004D7CD7"/>
    <w:rsid w:val="004E1650"/>
    <w:rsid w:val="004E627A"/>
    <w:rsid w:val="004F0DBA"/>
    <w:rsid w:val="004F172E"/>
    <w:rsid w:val="005002B1"/>
    <w:rsid w:val="00503FC8"/>
    <w:rsid w:val="00504569"/>
    <w:rsid w:val="00504ED9"/>
    <w:rsid w:val="005102C9"/>
    <w:rsid w:val="005119C4"/>
    <w:rsid w:val="00512AF1"/>
    <w:rsid w:val="00512B5A"/>
    <w:rsid w:val="00521737"/>
    <w:rsid w:val="00524359"/>
    <w:rsid w:val="00527CAF"/>
    <w:rsid w:val="00534E41"/>
    <w:rsid w:val="005363C9"/>
    <w:rsid w:val="005367B9"/>
    <w:rsid w:val="00541CCE"/>
    <w:rsid w:val="00542D92"/>
    <w:rsid w:val="00554F4A"/>
    <w:rsid w:val="005551D4"/>
    <w:rsid w:val="00567F16"/>
    <w:rsid w:val="00570AAB"/>
    <w:rsid w:val="005722E6"/>
    <w:rsid w:val="005735D2"/>
    <w:rsid w:val="00576B0B"/>
    <w:rsid w:val="00577218"/>
    <w:rsid w:val="00587D86"/>
    <w:rsid w:val="005A3D48"/>
    <w:rsid w:val="005A55C0"/>
    <w:rsid w:val="005A6E50"/>
    <w:rsid w:val="005B51FB"/>
    <w:rsid w:val="005B57FF"/>
    <w:rsid w:val="005B6247"/>
    <w:rsid w:val="005B6B54"/>
    <w:rsid w:val="005B7070"/>
    <w:rsid w:val="005C6508"/>
    <w:rsid w:val="005D020F"/>
    <w:rsid w:val="005D06CB"/>
    <w:rsid w:val="005D077A"/>
    <w:rsid w:val="005D3834"/>
    <w:rsid w:val="005D4D48"/>
    <w:rsid w:val="005E133B"/>
    <w:rsid w:val="005E5556"/>
    <w:rsid w:val="005E64EE"/>
    <w:rsid w:val="005E7414"/>
    <w:rsid w:val="005F2E4E"/>
    <w:rsid w:val="0060011E"/>
    <w:rsid w:val="00604FD4"/>
    <w:rsid w:val="00605AE8"/>
    <w:rsid w:val="006105B5"/>
    <w:rsid w:val="00610655"/>
    <w:rsid w:val="0061209B"/>
    <w:rsid w:val="0061251B"/>
    <w:rsid w:val="0061445A"/>
    <w:rsid w:val="00614776"/>
    <w:rsid w:val="00614D28"/>
    <w:rsid w:val="006205D4"/>
    <w:rsid w:val="00631790"/>
    <w:rsid w:val="0063742E"/>
    <w:rsid w:val="00637F7C"/>
    <w:rsid w:val="006421E1"/>
    <w:rsid w:val="006442A1"/>
    <w:rsid w:val="00645B54"/>
    <w:rsid w:val="00647D50"/>
    <w:rsid w:val="0065502A"/>
    <w:rsid w:val="00656CD2"/>
    <w:rsid w:val="00660EB1"/>
    <w:rsid w:val="00664B96"/>
    <w:rsid w:val="0067097D"/>
    <w:rsid w:val="00672E26"/>
    <w:rsid w:val="00673DE7"/>
    <w:rsid w:val="006773A0"/>
    <w:rsid w:val="00682EA5"/>
    <w:rsid w:val="0068414C"/>
    <w:rsid w:val="00693EE2"/>
    <w:rsid w:val="006A4E63"/>
    <w:rsid w:val="006A57EA"/>
    <w:rsid w:val="006A7F98"/>
    <w:rsid w:val="006B08E0"/>
    <w:rsid w:val="006B0F0D"/>
    <w:rsid w:val="006C016C"/>
    <w:rsid w:val="006C481D"/>
    <w:rsid w:val="006C4C4E"/>
    <w:rsid w:val="006E4A57"/>
    <w:rsid w:val="006E5376"/>
    <w:rsid w:val="006E65E2"/>
    <w:rsid w:val="006E7236"/>
    <w:rsid w:val="006F17C0"/>
    <w:rsid w:val="006F26D8"/>
    <w:rsid w:val="006F7518"/>
    <w:rsid w:val="00702F84"/>
    <w:rsid w:val="00703870"/>
    <w:rsid w:val="00703A43"/>
    <w:rsid w:val="00703E53"/>
    <w:rsid w:val="007074E1"/>
    <w:rsid w:val="007075DD"/>
    <w:rsid w:val="00710068"/>
    <w:rsid w:val="007126CE"/>
    <w:rsid w:val="007239BB"/>
    <w:rsid w:val="0072753C"/>
    <w:rsid w:val="00730890"/>
    <w:rsid w:val="00730E1E"/>
    <w:rsid w:val="00734D95"/>
    <w:rsid w:val="00745CD0"/>
    <w:rsid w:val="00746482"/>
    <w:rsid w:val="007621A6"/>
    <w:rsid w:val="007630B8"/>
    <w:rsid w:val="00771EB0"/>
    <w:rsid w:val="00774B02"/>
    <w:rsid w:val="00774CD4"/>
    <w:rsid w:val="00774FDC"/>
    <w:rsid w:val="00775604"/>
    <w:rsid w:val="0077565C"/>
    <w:rsid w:val="00775BE0"/>
    <w:rsid w:val="00776E10"/>
    <w:rsid w:val="007809E5"/>
    <w:rsid w:val="00786618"/>
    <w:rsid w:val="00790739"/>
    <w:rsid w:val="00790F56"/>
    <w:rsid w:val="00792762"/>
    <w:rsid w:val="00796779"/>
    <w:rsid w:val="00797615"/>
    <w:rsid w:val="007A079A"/>
    <w:rsid w:val="007B42F7"/>
    <w:rsid w:val="007B4B36"/>
    <w:rsid w:val="007B5FFB"/>
    <w:rsid w:val="007B7057"/>
    <w:rsid w:val="007B782F"/>
    <w:rsid w:val="007C1782"/>
    <w:rsid w:val="007C46C7"/>
    <w:rsid w:val="007C4BCA"/>
    <w:rsid w:val="007C5474"/>
    <w:rsid w:val="007D10C2"/>
    <w:rsid w:val="007D1ED2"/>
    <w:rsid w:val="007D2288"/>
    <w:rsid w:val="007D48B6"/>
    <w:rsid w:val="007D62B2"/>
    <w:rsid w:val="007D71DC"/>
    <w:rsid w:val="007D78C7"/>
    <w:rsid w:val="007E1DC3"/>
    <w:rsid w:val="007E2BB5"/>
    <w:rsid w:val="007E349A"/>
    <w:rsid w:val="007E40BD"/>
    <w:rsid w:val="007F1C45"/>
    <w:rsid w:val="007F3259"/>
    <w:rsid w:val="007F648E"/>
    <w:rsid w:val="008004DC"/>
    <w:rsid w:val="00800DEB"/>
    <w:rsid w:val="008025CB"/>
    <w:rsid w:val="008027E2"/>
    <w:rsid w:val="00802C3B"/>
    <w:rsid w:val="00806EDA"/>
    <w:rsid w:val="00811F53"/>
    <w:rsid w:val="00814365"/>
    <w:rsid w:val="00815759"/>
    <w:rsid w:val="0082304A"/>
    <w:rsid w:val="008273C9"/>
    <w:rsid w:val="00830172"/>
    <w:rsid w:val="0083200B"/>
    <w:rsid w:val="00832C9C"/>
    <w:rsid w:val="00833032"/>
    <w:rsid w:val="0083367B"/>
    <w:rsid w:val="00843185"/>
    <w:rsid w:val="008456AA"/>
    <w:rsid w:val="008475C5"/>
    <w:rsid w:val="00852FB6"/>
    <w:rsid w:val="00854535"/>
    <w:rsid w:val="00857C0A"/>
    <w:rsid w:val="00860D38"/>
    <w:rsid w:val="00863AEB"/>
    <w:rsid w:val="00863CB2"/>
    <w:rsid w:val="00864571"/>
    <w:rsid w:val="0086532B"/>
    <w:rsid w:val="008741F4"/>
    <w:rsid w:val="008760BF"/>
    <w:rsid w:val="00892F59"/>
    <w:rsid w:val="008944F8"/>
    <w:rsid w:val="00896BE3"/>
    <w:rsid w:val="008A0497"/>
    <w:rsid w:val="008A07A9"/>
    <w:rsid w:val="008A1698"/>
    <w:rsid w:val="008B2BC4"/>
    <w:rsid w:val="008B2DB4"/>
    <w:rsid w:val="008B5802"/>
    <w:rsid w:val="008B6C45"/>
    <w:rsid w:val="008B7131"/>
    <w:rsid w:val="008C1E05"/>
    <w:rsid w:val="008C4636"/>
    <w:rsid w:val="008D1783"/>
    <w:rsid w:val="008E5F6A"/>
    <w:rsid w:val="008E780B"/>
    <w:rsid w:val="008F0603"/>
    <w:rsid w:val="008F6002"/>
    <w:rsid w:val="008F6201"/>
    <w:rsid w:val="008F736D"/>
    <w:rsid w:val="00905282"/>
    <w:rsid w:val="00906EC7"/>
    <w:rsid w:val="009076DC"/>
    <w:rsid w:val="0091489D"/>
    <w:rsid w:val="00914F39"/>
    <w:rsid w:val="00917E0A"/>
    <w:rsid w:val="00921249"/>
    <w:rsid w:val="00926B2C"/>
    <w:rsid w:val="009337FC"/>
    <w:rsid w:val="00933D86"/>
    <w:rsid w:val="00934800"/>
    <w:rsid w:val="009376BE"/>
    <w:rsid w:val="00943FD7"/>
    <w:rsid w:val="009444F7"/>
    <w:rsid w:val="009449AD"/>
    <w:rsid w:val="00950680"/>
    <w:rsid w:val="00953B3C"/>
    <w:rsid w:val="00962AD9"/>
    <w:rsid w:val="00965149"/>
    <w:rsid w:val="0096684C"/>
    <w:rsid w:val="00966E60"/>
    <w:rsid w:val="009710DB"/>
    <w:rsid w:val="00981AC2"/>
    <w:rsid w:val="0098521E"/>
    <w:rsid w:val="00985E62"/>
    <w:rsid w:val="009862BF"/>
    <w:rsid w:val="00986C5E"/>
    <w:rsid w:val="0099014E"/>
    <w:rsid w:val="0099079A"/>
    <w:rsid w:val="00994DC0"/>
    <w:rsid w:val="00995199"/>
    <w:rsid w:val="00997566"/>
    <w:rsid w:val="009A2855"/>
    <w:rsid w:val="009A2BCA"/>
    <w:rsid w:val="009A6C43"/>
    <w:rsid w:val="009B18BB"/>
    <w:rsid w:val="009B1C73"/>
    <w:rsid w:val="009B3B71"/>
    <w:rsid w:val="009B4AFB"/>
    <w:rsid w:val="009B7BDF"/>
    <w:rsid w:val="009C0E2C"/>
    <w:rsid w:val="009C4AB4"/>
    <w:rsid w:val="009C4F51"/>
    <w:rsid w:val="009D2E5A"/>
    <w:rsid w:val="009D56D0"/>
    <w:rsid w:val="009E1CC7"/>
    <w:rsid w:val="009E2613"/>
    <w:rsid w:val="009E3379"/>
    <w:rsid w:val="009E3B81"/>
    <w:rsid w:val="009E507C"/>
    <w:rsid w:val="009F2043"/>
    <w:rsid w:val="009F6600"/>
    <w:rsid w:val="009F681D"/>
    <w:rsid w:val="00A06A2B"/>
    <w:rsid w:val="00A10ACE"/>
    <w:rsid w:val="00A204B4"/>
    <w:rsid w:val="00A23385"/>
    <w:rsid w:val="00A24258"/>
    <w:rsid w:val="00A261E5"/>
    <w:rsid w:val="00A2650D"/>
    <w:rsid w:val="00A305F1"/>
    <w:rsid w:val="00A32443"/>
    <w:rsid w:val="00A3463F"/>
    <w:rsid w:val="00A40FCA"/>
    <w:rsid w:val="00A43831"/>
    <w:rsid w:val="00A444AB"/>
    <w:rsid w:val="00A44940"/>
    <w:rsid w:val="00A47F99"/>
    <w:rsid w:val="00A53EED"/>
    <w:rsid w:val="00A55582"/>
    <w:rsid w:val="00A563E4"/>
    <w:rsid w:val="00A6063F"/>
    <w:rsid w:val="00A769B8"/>
    <w:rsid w:val="00A770C8"/>
    <w:rsid w:val="00A849AA"/>
    <w:rsid w:val="00A93F4E"/>
    <w:rsid w:val="00A947CF"/>
    <w:rsid w:val="00A94BB6"/>
    <w:rsid w:val="00AA4117"/>
    <w:rsid w:val="00AA66F4"/>
    <w:rsid w:val="00AB24F4"/>
    <w:rsid w:val="00AC0AB9"/>
    <w:rsid w:val="00AC7C1A"/>
    <w:rsid w:val="00AD5BB7"/>
    <w:rsid w:val="00AE05A1"/>
    <w:rsid w:val="00AE0F2A"/>
    <w:rsid w:val="00AE11B6"/>
    <w:rsid w:val="00AE545D"/>
    <w:rsid w:val="00AE61C4"/>
    <w:rsid w:val="00AF5C51"/>
    <w:rsid w:val="00AF7B29"/>
    <w:rsid w:val="00B00C31"/>
    <w:rsid w:val="00B01C5D"/>
    <w:rsid w:val="00B06FA1"/>
    <w:rsid w:val="00B12867"/>
    <w:rsid w:val="00B15E3D"/>
    <w:rsid w:val="00B342E3"/>
    <w:rsid w:val="00B35588"/>
    <w:rsid w:val="00B3601E"/>
    <w:rsid w:val="00B36DE7"/>
    <w:rsid w:val="00B50E74"/>
    <w:rsid w:val="00B545DB"/>
    <w:rsid w:val="00B5618E"/>
    <w:rsid w:val="00B626F6"/>
    <w:rsid w:val="00B65F1A"/>
    <w:rsid w:val="00B6630F"/>
    <w:rsid w:val="00B666F3"/>
    <w:rsid w:val="00B66A1D"/>
    <w:rsid w:val="00B737E6"/>
    <w:rsid w:val="00B7545D"/>
    <w:rsid w:val="00B81C6E"/>
    <w:rsid w:val="00B82BD2"/>
    <w:rsid w:val="00B83B2B"/>
    <w:rsid w:val="00B84668"/>
    <w:rsid w:val="00B84B29"/>
    <w:rsid w:val="00B86A61"/>
    <w:rsid w:val="00B910E6"/>
    <w:rsid w:val="00B9302B"/>
    <w:rsid w:val="00B9490F"/>
    <w:rsid w:val="00BA5898"/>
    <w:rsid w:val="00BB3EA8"/>
    <w:rsid w:val="00BB49A1"/>
    <w:rsid w:val="00BB5042"/>
    <w:rsid w:val="00BB54AB"/>
    <w:rsid w:val="00BC013C"/>
    <w:rsid w:val="00BD29F7"/>
    <w:rsid w:val="00BD6F34"/>
    <w:rsid w:val="00BE04C4"/>
    <w:rsid w:val="00BE4FFA"/>
    <w:rsid w:val="00BE5BE8"/>
    <w:rsid w:val="00BF35A7"/>
    <w:rsid w:val="00BF6360"/>
    <w:rsid w:val="00BF77DA"/>
    <w:rsid w:val="00C04CA9"/>
    <w:rsid w:val="00C0595D"/>
    <w:rsid w:val="00C125DA"/>
    <w:rsid w:val="00C12AA0"/>
    <w:rsid w:val="00C12E47"/>
    <w:rsid w:val="00C162CA"/>
    <w:rsid w:val="00C2192A"/>
    <w:rsid w:val="00C2315F"/>
    <w:rsid w:val="00C26189"/>
    <w:rsid w:val="00C263B3"/>
    <w:rsid w:val="00C268F0"/>
    <w:rsid w:val="00C3541B"/>
    <w:rsid w:val="00C36109"/>
    <w:rsid w:val="00C462B6"/>
    <w:rsid w:val="00C51861"/>
    <w:rsid w:val="00C54EEA"/>
    <w:rsid w:val="00C55AB3"/>
    <w:rsid w:val="00C57315"/>
    <w:rsid w:val="00C662C9"/>
    <w:rsid w:val="00C71E71"/>
    <w:rsid w:val="00C7601F"/>
    <w:rsid w:val="00C82303"/>
    <w:rsid w:val="00C83E95"/>
    <w:rsid w:val="00C864D5"/>
    <w:rsid w:val="00C90A3D"/>
    <w:rsid w:val="00C90B4A"/>
    <w:rsid w:val="00C93899"/>
    <w:rsid w:val="00C97521"/>
    <w:rsid w:val="00CA23B3"/>
    <w:rsid w:val="00CA2D2C"/>
    <w:rsid w:val="00CA2DBB"/>
    <w:rsid w:val="00CA6436"/>
    <w:rsid w:val="00CA74EC"/>
    <w:rsid w:val="00CB254F"/>
    <w:rsid w:val="00CB716F"/>
    <w:rsid w:val="00CC57F5"/>
    <w:rsid w:val="00CE0EFB"/>
    <w:rsid w:val="00CE4973"/>
    <w:rsid w:val="00CE6399"/>
    <w:rsid w:val="00CE69EA"/>
    <w:rsid w:val="00CF5660"/>
    <w:rsid w:val="00CF6803"/>
    <w:rsid w:val="00D040E7"/>
    <w:rsid w:val="00D05579"/>
    <w:rsid w:val="00D05748"/>
    <w:rsid w:val="00D11D1D"/>
    <w:rsid w:val="00D16208"/>
    <w:rsid w:val="00D17B67"/>
    <w:rsid w:val="00D247CA"/>
    <w:rsid w:val="00D259C2"/>
    <w:rsid w:val="00D30852"/>
    <w:rsid w:val="00D30C17"/>
    <w:rsid w:val="00D33169"/>
    <w:rsid w:val="00D35415"/>
    <w:rsid w:val="00D455D8"/>
    <w:rsid w:val="00D47F4C"/>
    <w:rsid w:val="00D507E6"/>
    <w:rsid w:val="00D570FA"/>
    <w:rsid w:val="00D5770A"/>
    <w:rsid w:val="00D60A36"/>
    <w:rsid w:val="00D66A31"/>
    <w:rsid w:val="00D675A9"/>
    <w:rsid w:val="00D70091"/>
    <w:rsid w:val="00D7018F"/>
    <w:rsid w:val="00D7648A"/>
    <w:rsid w:val="00D77AC3"/>
    <w:rsid w:val="00D80770"/>
    <w:rsid w:val="00D807A5"/>
    <w:rsid w:val="00D8085B"/>
    <w:rsid w:val="00D85AC5"/>
    <w:rsid w:val="00D90603"/>
    <w:rsid w:val="00D915DA"/>
    <w:rsid w:val="00DA3CE9"/>
    <w:rsid w:val="00DA457D"/>
    <w:rsid w:val="00DA4FA8"/>
    <w:rsid w:val="00DA5947"/>
    <w:rsid w:val="00DA6EBB"/>
    <w:rsid w:val="00DA6FE1"/>
    <w:rsid w:val="00DB2835"/>
    <w:rsid w:val="00DB372B"/>
    <w:rsid w:val="00DB4FE9"/>
    <w:rsid w:val="00DB64EE"/>
    <w:rsid w:val="00DC2C4E"/>
    <w:rsid w:val="00DC5449"/>
    <w:rsid w:val="00DC5F10"/>
    <w:rsid w:val="00DC5F7F"/>
    <w:rsid w:val="00DC6EEB"/>
    <w:rsid w:val="00DD59A5"/>
    <w:rsid w:val="00DE20CF"/>
    <w:rsid w:val="00DE2588"/>
    <w:rsid w:val="00DE36FA"/>
    <w:rsid w:val="00DE5EEA"/>
    <w:rsid w:val="00DE5F6D"/>
    <w:rsid w:val="00DF223A"/>
    <w:rsid w:val="00DF595F"/>
    <w:rsid w:val="00DF6468"/>
    <w:rsid w:val="00E00691"/>
    <w:rsid w:val="00E06662"/>
    <w:rsid w:val="00E100AC"/>
    <w:rsid w:val="00E15CCB"/>
    <w:rsid w:val="00E173C2"/>
    <w:rsid w:val="00E17645"/>
    <w:rsid w:val="00E22920"/>
    <w:rsid w:val="00E2715E"/>
    <w:rsid w:val="00E32736"/>
    <w:rsid w:val="00E34120"/>
    <w:rsid w:val="00E353B4"/>
    <w:rsid w:val="00E426D9"/>
    <w:rsid w:val="00E44B61"/>
    <w:rsid w:val="00E454A1"/>
    <w:rsid w:val="00E47293"/>
    <w:rsid w:val="00E50B8D"/>
    <w:rsid w:val="00E52617"/>
    <w:rsid w:val="00E52687"/>
    <w:rsid w:val="00E56033"/>
    <w:rsid w:val="00E61327"/>
    <w:rsid w:val="00E62113"/>
    <w:rsid w:val="00E8127C"/>
    <w:rsid w:val="00E82788"/>
    <w:rsid w:val="00E83CB3"/>
    <w:rsid w:val="00E86AB0"/>
    <w:rsid w:val="00E931D0"/>
    <w:rsid w:val="00E96DAE"/>
    <w:rsid w:val="00EA1447"/>
    <w:rsid w:val="00EA3EA3"/>
    <w:rsid w:val="00EA508B"/>
    <w:rsid w:val="00EA7D9A"/>
    <w:rsid w:val="00EA7E15"/>
    <w:rsid w:val="00EA7FC9"/>
    <w:rsid w:val="00EB1B39"/>
    <w:rsid w:val="00EB2318"/>
    <w:rsid w:val="00EB2967"/>
    <w:rsid w:val="00EB2C63"/>
    <w:rsid w:val="00EB4F17"/>
    <w:rsid w:val="00EB7DFB"/>
    <w:rsid w:val="00EB7EF0"/>
    <w:rsid w:val="00EC2D69"/>
    <w:rsid w:val="00EC6D6B"/>
    <w:rsid w:val="00ED4F88"/>
    <w:rsid w:val="00ED5577"/>
    <w:rsid w:val="00EE127F"/>
    <w:rsid w:val="00EE3608"/>
    <w:rsid w:val="00EE432E"/>
    <w:rsid w:val="00EE7469"/>
    <w:rsid w:val="00EF7E41"/>
    <w:rsid w:val="00F00158"/>
    <w:rsid w:val="00F02A62"/>
    <w:rsid w:val="00F11A1D"/>
    <w:rsid w:val="00F12CAC"/>
    <w:rsid w:val="00F14895"/>
    <w:rsid w:val="00F17597"/>
    <w:rsid w:val="00F17D59"/>
    <w:rsid w:val="00F207C2"/>
    <w:rsid w:val="00F2171F"/>
    <w:rsid w:val="00F21799"/>
    <w:rsid w:val="00F22E69"/>
    <w:rsid w:val="00F235A3"/>
    <w:rsid w:val="00F24AAB"/>
    <w:rsid w:val="00F25BC1"/>
    <w:rsid w:val="00F27BC6"/>
    <w:rsid w:val="00F30F50"/>
    <w:rsid w:val="00F32185"/>
    <w:rsid w:val="00F331A4"/>
    <w:rsid w:val="00F34636"/>
    <w:rsid w:val="00F35A03"/>
    <w:rsid w:val="00F368B3"/>
    <w:rsid w:val="00F43D6F"/>
    <w:rsid w:val="00F44945"/>
    <w:rsid w:val="00F50EC5"/>
    <w:rsid w:val="00F5109A"/>
    <w:rsid w:val="00F636B2"/>
    <w:rsid w:val="00F63C6E"/>
    <w:rsid w:val="00F647C5"/>
    <w:rsid w:val="00F677BF"/>
    <w:rsid w:val="00F71E4F"/>
    <w:rsid w:val="00F73842"/>
    <w:rsid w:val="00F74A6F"/>
    <w:rsid w:val="00F82C1E"/>
    <w:rsid w:val="00F82D0D"/>
    <w:rsid w:val="00F9236A"/>
    <w:rsid w:val="00F977B4"/>
    <w:rsid w:val="00FA5A77"/>
    <w:rsid w:val="00FB296D"/>
    <w:rsid w:val="00FC20F5"/>
    <w:rsid w:val="00FC2477"/>
    <w:rsid w:val="00FC7F49"/>
    <w:rsid w:val="00FD0229"/>
    <w:rsid w:val="00FD1563"/>
    <w:rsid w:val="00FD1E3E"/>
    <w:rsid w:val="00FD5638"/>
    <w:rsid w:val="00FD5F8C"/>
    <w:rsid w:val="00FD63F0"/>
    <w:rsid w:val="00FD6FBE"/>
    <w:rsid w:val="00FE02F7"/>
    <w:rsid w:val="00FE03C7"/>
    <w:rsid w:val="00FE17C9"/>
    <w:rsid w:val="00FE5BD3"/>
    <w:rsid w:val="00FE60D4"/>
    <w:rsid w:val="00FF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FB8"/>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uiPriority w:val="9"/>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uiPriority w:val="9"/>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E1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100AC"/>
    <w:pPr>
      <w:ind w:left="720"/>
      <w:contextualSpacing/>
    </w:pPr>
  </w:style>
  <w:style w:type="paragraph" w:styleId="EndnoteText">
    <w:name w:val="endnote text"/>
    <w:basedOn w:val="Normal"/>
    <w:link w:val="EndnoteTextChar"/>
    <w:uiPriority w:val="99"/>
    <w:rsid w:val="009A6C43"/>
    <w:rPr>
      <w:rFonts w:cs="Arial"/>
      <w:sz w:val="20"/>
      <w:szCs w:val="20"/>
    </w:rPr>
  </w:style>
  <w:style w:type="character" w:customStyle="1" w:styleId="EndnoteTextChar">
    <w:name w:val="Endnote Text Char"/>
    <w:basedOn w:val="DefaultParagraphFont"/>
    <w:link w:val="EndnoteText"/>
    <w:uiPriority w:val="99"/>
    <w:rsid w:val="009A6C43"/>
    <w:rPr>
      <w:rFonts w:ascii="Arial" w:hAnsi="Arial" w:cs="Arial"/>
      <w:lang w:eastAsia="en-US"/>
    </w:rPr>
  </w:style>
  <w:style w:type="character" w:styleId="EndnoteReference">
    <w:name w:val="endnote reference"/>
    <w:rsid w:val="009A6C43"/>
    <w:rPr>
      <w:vertAlign w:val="superscript"/>
    </w:rPr>
  </w:style>
  <w:style w:type="paragraph" w:styleId="FootnoteText">
    <w:name w:val="footnote text"/>
    <w:aliases w:val="single space,Footnote Text Char1,Footnote Text Char2 Char,Footnote Text Char1 Char Char,Footnote Text Char2 Char Char Char,Footnote Text Char1 Char Char Char Char,Footnote Text Char2 Char Char Char Char Char,Footnote Text Char1 Char,fn,AD"/>
    <w:basedOn w:val="Normal"/>
    <w:link w:val="FootnoteTextChar"/>
    <w:uiPriority w:val="99"/>
    <w:qFormat/>
    <w:rsid w:val="00E32736"/>
    <w:rPr>
      <w:sz w:val="20"/>
      <w:szCs w:val="20"/>
    </w:rPr>
  </w:style>
  <w:style w:type="character" w:customStyle="1" w:styleId="FootnoteTextChar">
    <w:name w:val="Footnote Text Char"/>
    <w:aliases w:val="single space Char,Footnote Text Char1 Char1,Footnote Text Char2 Char Char,Footnote Text Char1 Char Char Char,Footnote Text Char2 Char Char Char Char,Footnote Text Char1 Char Char Char Char Char,Footnote Text Char1 Char Char1,fn Char"/>
    <w:basedOn w:val="DefaultParagraphFont"/>
    <w:link w:val="FootnoteText"/>
    <w:uiPriority w:val="99"/>
    <w:rsid w:val="00E32736"/>
    <w:rPr>
      <w:rFonts w:ascii="Arial" w:hAnsi="Arial"/>
      <w:lang w:eastAsia="en-US"/>
    </w:rPr>
  </w:style>
  <w:style w:type="character" w:styleId="FootnoteReference">
    <w:name w:val="footnote reference"/>
    <w:aliases w:val="ftref,Ref,de nota al pie,16 Point,Superscript 6 Point,Appel note de bas de page,BVI fnr,Footnote Reference Number,Footnote,Char Char Char Char Car Char,Car1,Знак сноски 1,Footnote Reference Char Char Char,ASI Footer,BVI fnr Car Car"/>
    <w:basedOn w:val="DefaultParagraphFont"/>
    <w:uiPriority w:val="99"/>
    <w:rsid w:val="00E32736"/>
    <w:rPr>
      <w:vertAlign w:val="superscript"/>
    </w:rPr>
  </w:style>
  <w:style w:type="character" w:styleId="HTMLCite">
    <w:name w:val="HTML Cite"/>
    <w:basedOn w:val="DefaultParagraphFont"/>
    <w:rsid w:val="00E32736"/>
    <w:rPr>
      <w:i/>
      <w:iCs/>
    </w:rPr>
  </w:style>
  <w:style w:type="paragraph" w:styleId="BalloonText">
    <w:name w:val="Balloon Text"/>
    <w:basedOn w:val="Normal"/>
    <w:link w:val="BalloonTextChar"/>
    <w:rsid w:val="00B626F6"/>
    <w:rPr>
      <w:rFonts w:ascii="Tahoma" w:hAnsi="Tahoma" w:cs="Tahoma"/>
      <w:sz w:val="16"/>
      <w:szCs w:val="16"/>
    </w:rPr>
  </w:style>
  <w:style w:type="character" w:customStyle="1" w:styleId="BalloonTextChar">
    <w:name w:val="Balloon Text Char"/>
    <w:basedOn w:val="DefaultParagraphFont"/>
    <w:link w:val="BalloonText"/>
    <w:rsid w:val="00B626F6"/>
    <w:rPr>
      <w:rFonts w:ascii="Tahoma" w:hAnsi="Tahoma" w:cs="Tahoma"/>
      <w:sz w:val="16"/>
      <w:szCs w:val="16"/>
      <w:lang w:eastAsia="en-US"/>
    </w:rPr>
  </w:style>
  <w:style w:type="paragraph" w:customStyle="1" w:styleId="CharChar1CharCharCharCharCharCharCharCharCharCharChar">
    <w:name w:val="Char Char1 Char Char Char Char Char Char Char Char Char Char Char"/>
    <w:basedOn w:val="Normal"/>
    <w:rsid w:val="00BC013C"/>
    <w:pPr>
      <w:spacing w:after="160" w:line="240" w:lineRule="exact"/>
    </w:pPr>
    <w:rPr>
      <w:rFonts w:ascii="Verdana" w:hAnsi="Verdana" w:cs="Verdana"/>
      <w:sz w:val="20"/>
      <w:szCs w:val="20"/>
    </w:rPr>
  </w:style>
  <w:style w:type="character" w:styleId="Hyperlink">
    <w:name w:val="Hyperlink"/>
    <w:basedOn w:val="DefaultParagraphFont"/>
    <w:uiPriority w:val="99"/>
    <w:rsid w:val="00BC013C"/>
    <w:rPr>
      <w:color w:val="0000FF"/>
      <w:u w:val="single"/>
    </w:rPr>
  </w:style>
  <w:style w:type="paragraph" w:customStyle="1" w:styleId="Default">
    <w:name w:val="Default"/>
    <w:rsid w:val="009449AD"/>
    <w:pPr>
      <w:autoSpaceDE w:val="0"/>
      <w:autoSpaceDN w:val="0"/>
      <w:adjustRightInd w:val="0"/>
    </w:pPr>
    <w:rPr>
      <w:rFonts w:ascii="Arial" w:hAnsi="Arial" w:cs="Arial"/>
      <w:color w:val="000000"/>
      <w:sz w:val="24"/>
      <w:szCs w:val="24"/>
    </w:rPr>
  </w:style>
  <w:style w:type="paragraph" w:customStyle="1" w:styleId="CharChar2Char">
    <w:name w:val="Char Char2 Char"/>
    <w:basedOn w:val="Normal"/>
    <w:rsid w:val="00F30F50"/>
    <w:rPr>
      <w:rFonts w:ascii="Times New Roman" w:hAnsi="Times New Roman"/>
      <w:lang w:val="pl-PL" w:eastAsia="pl-PL"/>
    </w:rPr>
  </w:style>
  <w:style w:type="paragraph" w:styleId="Header">
    <w:name w:val="header"/>
    <w:basedOn w:val="Normal"/>
    <w:link w:val="HeaderChar"/>
    <w:rsid w:val="008E780B"/>
    <w:pPr>
      <w:tabs>
        <w:tab w:val="center" w:pos="4513"/>
        <w:tab w:val="right" w:pos="9026"/>
      </w:tabs>
    </w:pPr>
  </w:style>
  <w:style w:type="character" w:customStyle="1" w:styleId="HeaderChar">
    <w:name w:val="Header Char"/>
    <w:basedOn w:val="DefaultParagraphFont"/>
    <w:link w:val="Header"/>
    <w:rsid w:val="008E780B"/>
    <w:rPr>
      <w:rFonts w:ascii="Arial" w:hAnsi="Arial"/>
      <w:sz w:val="24"/>
      <w:szCs w:val="24"/>
      <w:lang w:eastAsia="en-US"/>
    </w:rPr>
  </w:style>
  <w:style w:type="paragraph" w:styleId="Footer">
    <w:name w:val="footer"/>
    <w:basedOn w:val="Normal"/>
    <w:link w:val="FooterChar"/>
    <w:uiPriority w:val="99"/>
    <w:rsid w:val="008E780B"/>
    <w:pPr>
      <w:tabs>
        <w:tab w:val="center" w:pos="4513"/>
        <w:tab w:val="right" w:pos="9026"/>
      </w:tabs>
    </w:pPr>
  </w:style>
  <w:style w:type="character" w:customStyle="1" w:styleId="FooterChar">
    <w:name w:val="Footer Char"/>
    <w:basedOn w:val="DefaultParagraphFont"/>
    <w:link w:val="Footer"/>
    <w:uiPriority w:val="99"/>
    <w:rsid w:val="008E780B"/>
    <w:rPr>
      <w:rFonts w:ascii="Arial" w:hAnsi="Arial"/>
      <w:sz w:val="24"/>
      <w:szCs w:val="24"/>
      <w:lang w:eastAsia="en-US"/>
    </w:rPr>
  </w:style>
  <w:style w:type="character" w:styleId="FollowedHyperlink">
    <w:name w:val="FollowedHyperlink"/>
    <w:basedOn w:val="DefaultParagraphFont"/>
    <w:rsid w:val="00A47F99"/>
    <w:rPr>
      <w:color w:val="800080" w:themeColor="followedHyperlink"/>
      <w:u w:val="single"/>
    </w:rPr>
  </w:style>
  <w:style w:type="character" w:styleId="Emphasis">
    <w:name w:val="Emphasis"/>
    <w:basedOn w:val="DefaultParagraphFont"/>
    <w:uiPriority w:val="20"/>
    <w:qFormat/>
    <w:rsid w:val="00DC5449"/>
    <w:rPr>
      <w:i/>
      <w:iCs/>
      <w:sz w:val="24"/>
      <w:szCs w:val="24"/>
      <w:bdr w:val="none" w:sz="0" w:space="0" w:color="auto" w:frame="1"/>
      <w:vertAlign w:val="baseline"/>
    </w:rPr>
  </w:style>
  <w:style w:type="paragraph" w:customStyle="1" w:styleId="rtejustify">
    <w:name w:val="rtejustify"/>
    <w:basedOn w:val="Normal"/>
    <w:rsid w:val="00DC5449"/>
    <w:pPr>
      <w:spacing w:after="150"/>
      <w:jc w:val="both"/>
      <w:textAlignment w:val="baseline"/>
    </w:pPr>
    <w:rPr>
      <w:rFonts w:ascii="Times New Roman" w:hAnsi="Times New Roman"/>
      <w:lang w:eastAsia="en-GB"/>
    </w:rPr>
  </w:style>
  <w:style w:type="paragraph" w:customStyle="1" w:styleId="BodyCopy">
    <w:name w:val="Body Copy"/>
    <w:basedOn w:val="Normal"/>
    <w:rsid w:val="00182A19"/>
    <w:pPr>
      <w:spacing w:before="77" w:after="113" w:line="250" w:lineRule="atLeast"/>
    </w:pPr>
    <w:rPr>
      <w:rFonts w:eastAsiaTheme="minorHAnsi" w:cs="Arial"/>
      <w:sz w:val="20"/>
      <w:szCs w:val="20"/>
      <w:lang w:eastAsia="en-GB"/>
    </w:rPr>
  </w:style>
  <w:style w:type="character" w:styleId="CommentReference">
    <w:name w:val="annotation reference"/>
    <w:basedOn w:val="DefaultParagraphFont"/>
    <w:uiPriority w:val="99"/>
    <w:rsid w:val="00D77AC3"/>
    <w:rPr>
      <w:sz w:val="16"/>
      <w:szCs w:val="16"/>
    </w:rPr>
  </w:style>
  <w:style w:type="paragraph" w:styleId="CommentText">
    <w:name w:val="annotation text"/>
    <w:basedOn w:val="Normal"/>
    <w:link w:val="CommentTextChar"/>
    <w:uiPriority w:val="99"/>
    <w:rsid w:val="00D77AC3"/>
    <w:rPr>
      <w:sz w:val="20"/>
      <w:szCs w:val="20"/>
    </w:rPr>
  </w:style>
  <w:style w:type="character" w:customStyle="1" w:styleId="CommentTextChar">
    <w:name w:val="Comment Text Char"/>
    <w:basedOn w:val="DefaultParagraphFont"/>
    <w:link w:val="CommentText"/>
    <w:uiPriority w:val="99"/>
    <w:rsid w:val="00D77AC3"/>
    <w:rPr>
      <w:rFonts w:ascii="Arial" w:hAnsi="Arial"/>
      <w:lang w:eastAsia="en-US"/>
    </w:rPr>
  </w:style>
  <w:style w:type="paragraph" w:styleId="CommentSubject">
    <w:name w:val="annotation subject"/>
    <w:basedOn w:val="CommentText"/>
    <w:next w:val="CommentText"/>
    <w:link w:val="CommentSubjectChar"/>
    <w:rsid w:val="00D77AC3"/>
    <w:rPr>
      <w:b/>
      <w:bCs/>
    </w:rPr>
  </w:style>
  <w:style w:type="character" w:customStyle="1" w:styleId="CommentSubjectChar">
    <w:name w:val="Comment Subject Char"/>
    <w:basedOn w:val="CommentTextChar"/>
    <w:link w:val="CommentSubject"/>
    <w:rsid w:val="00D77AC3"/>
    <w:rPr>
      <w:rFonts w:ascii="Arial" w:hAnsi="Arial"/>
      <w:b/>
      <w:bCs/>
      <w:lang w:eastAsia="en-US"/>
    </w:rPr>
  </w:style>
  <w:style w:type="paragraph" w:styleId="Revision">
    <w:name w:val="Revision"/>
    <w:hidden/>
    <w:uiPriority w:val="99"/>
    <w:semiHidden/>
    <w:rsid w:val="00D60A36"/>
    <w:rPr>
      <w:rFonts w:ascii="Arial" w:hAnsi="Arial"/>
      <w:sz w:val="24"/>
      <w:szCs w:val="24"/>
      <w:lang w:eastAsia="en-US"/>
    </w:rPr>
  </w:style>
  <w:style w:type="paragraph" w:styleId="PlainText">
    <w:name w:val="Plain Text"/>
    <w:basedOn w:val="Normal"/>
    <w:link w:val="PlainTextChar"/>
    <w:rsid w:val="00C90A3D"/>
    <w:rPr>
      <w:rFonts w:ascii="Consolas" w:hAnsi="Consolas" w:cs="Consolas"/>
      <w:sz w:val="21"/>
      <w:szCs w:val="21"/>
    </w:rPr>
  </w:style>
  <w:style w:type="character" w:customStyle="1" w:styleId="PlainTextChar">
    <w:name w:val="Plain Text Char"/>
    <w:basedOn w:val="DefaultParagraphFont"/>
    <w:link w:val="PlainText"/>
    <w:rsid w:val="00C90A3D"/>
    <w:rPr>
      <w:rFonts w:ascii="Consolas" w:hAnsi="Consolas" w:cs="Consolas"/>
      <w:sz w:val="21"/>
      <w:szCs w:val="21"/>
      <w:lang w:eastAsia="en-US"/>
    </w:rPr>
  </w:style>
  <w:style w:type="paragraph" w:styleId="NormalWeb">
    <w:name w:val="Normal (Web)"/>
    <w:basedOn w:val="Normal"/>
    <w:uiPriority w:val="99"/>
    <w:unhideWhenUsed/>
    <w:rsid w:val="001E652D"/>
    <w:pPr>
      <w:spacing w:before="100" w:beforeAutospacing="1" w:after="100" w:afterAutospacing="1"/>
    </w:pPr>
    <w:rPr>
      <w:rFonts w:ascii="Times New Roman" w:hAnsi="Times New Roman"/>
      <w:lang w:val="en-US"/>
    </w:rPr>
  </w:style>
  <w:style w:type="paragraph" w:styleId="NoSpacing">
    <w:name w:val="No Spacing"/>
    <w:basedOn w:val="Normal"/>
    <w:link w:val="NoSpacingChar"/>
    <w:uiPriority w:val="1"/>
    <w:qFormat/>
    <w:rsid w:val="001E652D"/>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1E652D"/>
    <w:rPr>
      <w:rFonts w:asciiTheme="minorHAnsi" w:eastAsiaTheme="minorHAnsi" w:hAnsiTheme="minorHAnsi" w:cstheme="minorBidi"/>
      <w:lang w:eastAsia="en-US" w:bidi="en-US"/>
    </w:rPr>
  </w:style>
  <w:style w:type="character" w:customStyle="1" w:styleId="st1">
    <w:name w:val="st1"/>
    <w:uiPriority w:val="99"/>
    <w:rsid w:val="00352E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FB8"/>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uiPriority w:val="9"/>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uiPriority w:val="9"/>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E1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100AC"/>
    <w:pPr>
      <w:ind w:left="720"/>
      <w:contextualSpacing/>
    </w:pPr>
  </w:style>
  <w:style w:type="paragraph" w:styleId="EndnoteText">
    <w:name w:val="endnote text"/>
    <w:basedOn w:val="Normal"/>
    <w:link w:val="EndnoteTextChar"/>
    <w:uiPriority w:val="99"/>
    <w:rsid w:val="009A6C43"/>
    <w:rPr>
      <w:rFonts w:cs="Arial"/>
      <w:sz w:val="20"/>
      <w:szCs w:val="20"/>
    </w:rPr>
  </w:style>
  <w:style w:type="character" w:customStyle="1" w:styleId="EndnoteTextChar">
    <w:name w:val="Endnote Text Char"/>
    <w:basedOn w:val="DefaultParagraphFont"/>
    <w:link w:val="EndnoteText"/>
    <w:uiPriority w:val="99"/>
    <w:rsid w:val="009A6C43"/>
    <w:rPr>
      <w:rFonts w:ascii="Arial" w:hAnsi="Arial" w:cs="Arial"/>
      <w:lang w:eastAsia="en-US"/>
    </w:rPr>
  </w:style>
  <w:style w:type="character" w:styleId="EndnoteReference">
    <w:name w:val="endnote reference"/>
    <w:rsid w:val="009A6C43"/>
    <w:rPr>
      <w:vertAlign w:val="superscript"/>
    </w:rPr>
  </w:style>
  <w:style w:type="paragraph" w:styleId="FootnoteText">
    <w:name w:val="footnote text"/>
    <w:aliases w:val="single space,Footnote Text Char1,Footnote Text Char2 Char,Footnote Text Char1 Char Char,Footnote Text Char2 Char Char Char,Footnote Text Char1 Char Char Char Char,Footnote Text Char2 Char Char Char Char Char,Footnote Text Char1 Char,fn,AD"/>
    <w:basedOn w:val="Normal"/>
    <w:link w:val="FootnoteTextChar"/>
    <w:uiPriority w:val="99"/>
    <w:qFormat/>
    <w:rsid w:val="00E32736"/>
    <w:rPr>
      <w:sz w:val="20"/>
      <w:szCs w:val="20"/>
    </w:rPr>
  </w:style>
  <w:style w:type="character" w:customStyle="1" w:styleId="FootnoteTextChar">
    <w:name w:val="Footnote Text Char"/>
    <w:aliases w:val="single space Char,Footnote Text Char1 Char1,Footnote Text Char2 Char Char,Footnote Text Char1 Char Char Char,Footnote Text Char2 Char Char Char Char,Footnote Text Char1 Char Char Char Char Char,Footnote Text Char1 Char Char1,fn Char"/>
    <w:basedOn w:val="DefaultParagraphFont"/>
    <w:link w:val="FootnoteText"/>
    <w:uiPriority w:val="99"/>
    <w:rsid w:val="00E32736"/>
    <w:rPr>
      <w:rFonts w:ascii="Arial" w:hAnsi="Arial"/>
      <w:lang w:eastAsia="en-US"/>
    </w:rPr>
  </w:style>
  <w:style w:type="character" w:styleId="FootnoteReference">
    <w:name w:val="footnote reference"/>
    <w:aliases w:val="ftref,Ref,de nota al pie,16 Point,Superscript 6 Point,Appel note de bas de page,BVI fnr,Footnote Reference Number,Footnote,Char Char Char Char Car Char,Car1,Знак сноски 1,Footnote Reference Char Char Char,ASI Footer,BVI fnr Car Car"/>
    <w:basedOn w:val="DefaultParagraphFont"/>
    <w:uiPriority w:val="99"/>
    <w:rsid w:val="00E32736"/>
    <w:rPr>
      <w:vertAlign w:val="superscript"/>
    </w:rPr>
  </w:style>
  <w:style w:type="character" w:styleId="HTMLCite">
    <w:name w:val="HTML Cite"/>
    <w:basedOn w:val="DefaultParagraphFont"/>
    <w:rsid w:val="00E32736"/>
    <w:rPr>
      <w:i/>
      <w:iCs/>
    </w:rPr>
  </w:style>
  <w:style w:type="paragraph" w:styleId="BalloonText">
    <w:name w:val="Balloon Text"/>
    <w:basedOn w:val="Normal"/>
    <w:link w:val="BalloonTextChar"/>
    <w:rsid w:val="00B626F6"/>
    <w:rPr>
      <w:rFonts w:ascii="Tahoma" w:hAnsi="Tahoma" w:cs="Tahoma"/>
      <w:sz w:val="16"/>
      <w:szCs w:val="16"/>
    </w:rPr>
  </w:style>
  <w:style w:type="character" w:customStyle="1" w:styleId="BalloonTextChar">
    <w:name w:val="Balloon Text Char"/>
    <w:basedOn w:val="DefaultParagraphFont"/>
    <w:link w:val="BalloonText"/>
    <w:rsid w:val="00B626F6"/>
    <w:rPr>
      <w:rFonts w:ascii="Tahoma" w:hAnsi="Tahoma" w:cs="Tahoma"/>
      <w:sz w:val="16"/>
      <w:szCs w:val="16"/>
      <w:lang w:eastAsia="en-US"/>
    </w:rPr>
  </w:style>
  <w:style w:type="paragraph" w:customStyle="1" w:styleId="CharChar1CharCharCharCharCharCharCharCharCharCharChar">
    <w:name w:val="Char Char1 Char Char Char Char Char Char Char Char Char Char Char"/>
    <w:basedOn w:val="Normal"/>
    <w:rsid w:val="00BC013C"/>
    <w:pPr>
      <w:spacing w:after="160" w:line="240" w:lineRule="exact"/>
    </w:pPr>
    <w:rPr>
      <w:rFonts w:ascii="Verdana" w:hAnsi="Verdana" w:cs="Verdana"/>
      <w:sz w:val="20"/>
      <w:szCs w:val="20"/>
    </w:rPr>
  </w:style>
  <w:style w:type="character" w:styleId="Hyperlink">
    <w:name w:val="Hyperlink"/>
    <w:basedOn w:val="DefaultParagraphFont"/>
    <w:uiPriority w:val="99"/>
    <w:rsid w:val="00BC013C"/>
    <w:rPr>
      <w:color w:val="0000FF"/>
      <w:u w:val="single"/>
    </w:rPr>
  </w:style>
  <w:style w:type="paragraph" w:customStyle="1" w:styleId="Default">
    <w:name w:val="Default"/>
    <w:rsid w:val="009449AD"/>
    <w:pPr>
      <w:autoSpaceDE w:val="0"/>
      <w:autoSpaceDN w:val="0"/>
      <w:adjustRightInd w:val="0"/>
    </w:pPr>
    <w:rPr>
      <w:rFonts w:ascii="Arial" w:hAnsi="Arial" w:cs="Arial"/>
      <w:color w:val="000000"/>
      <w:sz w:val="24"/>
      <w:szCs w:val="24"/>
    </w:rPr>
  </w:style>
  <w:style w:type="paragraph" w:customStyle="1" w:styleId="CharChar2Char">
    <w:name w:val="Char Char2 Char"/>
    <w:basedOn w:val="Normal"/>
    <w:rsid w:val="00F30F50"/>
    <w:rPr>
      <w:rFonts w:ascii="Times New Roman" w:hAnsi="Times New Roman"/>
      <w:lang w:val="pl-PL" w:eastAsia="pl-PL"/>
    </w:rPr>
  </w:style>
  <w:style w:type="paragraph" w:styleId="Header">
    <w:name w:val="header"/>
    <w:basedOn w:val="Normal"/>
    <w:link w:val="HeaderChar"/>
    <w:rsid w:val="008E780B"/>
    <w:pPr>
      <w:tabs>
        <w:tab w:val="center" w:pos="4513"/>
        <w:tab w:val="right" w:pos="9026"/>
      </w:tabs>
    </w:pPr>
  </w:style>
  <w:style w:type="character" w:customStyle="1" w:styleId="HeaderChar">
    <w:name w:val="Header Char"/>
    <w:basedOn w:val="DefaultParagraphFont"/>
    <w:link w:val="Header"/>
    <w:rsid w:val="008E780B"/>
    <w:rPr>
      <w:rFonts w:ascii="Arial" w:hAnsi="Arial"/>
      <w:sz w:val="24"/>
      <w:szCs w:val="24"/>
      <w:lang w:eastAsia="en-US"/>
    </w:rPr>
  </w:style>
  <w:style w:type="paragraph" w:styleId="Footer">
    <w:name w:val="footer"/>
    <w:basedOn w:val="Normal"/>
    <w:link w:val="FooterChar"/>
    <w:uiPriority w:val="99"/>
    <w:rsid w:val="008E780B"/>
    <w:pPr>
      <w:tabs>
        <w:tab w:val="center" w:pos="4513"/>
        <w:tab w:val="right" w:pos="9026"/>
      </w:tabs>
    </w:pPr>
  </w:style>
  <w:style w:type="character" w:customStyle="1" w:styleId="FooterChar">
    <w:name w:val="Footer Char"/>
    <w:basedOn w:val="DefaultParagraphFont"/>
    <w:link w:val="Footer"/>
    <w:uiPriority w:val="99"/>
    <w:rsid w:val="008E780B"/>
    <w:rPr>
      <w:rFonts w:ascii="Arial" w:hAnsi="Arial"/>
      <w:sz w:val="24"/>
      <w:szCs w:val="24"/>
      <w:lang w:eastAsia="en-US"/>
    </w:rPr>
  </w:style>
  <w:style w:type="character" w:styleId="FollowedHyperlink">
    <w:name w:val="FollowedHyperlink"/>
    <w:basedOn w:val="DefaultParagraphFont"/>
    <w:rsid w:val="00A47F99"/>
    <w:rPr>
      <w:color w:val="800080" w:themeColor="followedHyperlink"/>
      <w:u w:val="single"/>
    </w:rPr>
  </w:style>
  <w:style w:type="character" w:styleId="Emphasis">
    <w:name w:val="Emphasis"/>
    <w:basedOn w:val="DefaultParagraphFont"/>
    <w:uiPriority w:val="20"/>
    <w:qFormat/>
    <w:rsid w:val="00DC5449"/>
    <w:rPr>
      <w:i/>
      <w:iCs/>
      <w:sz w:val="24"/>
      <w:szCs w:val="24"/>
      <w:bdr w:val="none" w:sz="0" w:space="0" w:color="auto" w:frame="1"/>
      <w:vertAlign w:val="baseline"/>
    </w:rPr>
  </w:style>
  <w:style w:type="paragraph" w:customStyle="1" w:styleId="rtejustify">
    <w:name w:val="rtejustify"/>
    <w:basedOn w:val="Normal"/>
    <w:rsid w:val="00DC5449"/>
    <w:pPr>
      <w:spacing w:after="150"/>
      <w:jc w:val="both"/>
      <w:textAlignment w:val="baseline"/>
    </w:pPr>
    <w:rPr>
      <w:rFonts w:ascii="Times New Roman" w:hAnsi="Times New Roman"/>
      <w:lang w:eastAsia="en-GB"/>
    </w:rPr>
  </w:style>
  <w:style w:type="paragraph" w:customStyle="1" w:styleId="BodyCopy">
    <w:name w:val="Body Copy"/>
    <w:basedOn w:val="Normal"/>
    <w:rsid w:val="00182A19"/>
    <w:pPr>
      <w:spacing w:before="77" w:after="113" w:line="250" w:lineRule="atLeast"/>
    </w:pPr>
    <w:rPr>
      <w:rFonts w:eastAsiaTheme="minorHAnsi" w:cs="Arial"/>
      <w:sz w:val="20"/>
      <w:szCs w:val="20"/>
      <w:lang w:eastAsia="en-GB"/>
    </w:rPr>
  </w:style>
  <w:style w:type="character" w:styleId="CommentReference">
    <w:name w:val="annotation reference"/>
    <w:basedOn w:val="DefaultParagraphFont"/>
    <w:uiPriority w:val="99"/>
    <w:rsid w:val="00D77AC3"/>
    <w:rPr>
      <w:sz w:val="16"/>
      <w:szCs w:val="16"/>
    </w:rPr>
  </w:style>
  <w:style w:type="paragraph" w:styleId="CommentText">
    <w:name w:val="annotation text"/>
    <w:basedOn w:val="Normal"/>
    <w:link w:val="CommentTextChar"/>
    <w:uiPriority w:val="99"/>
    <w:rsid w:val="00D77AC3"/>
    <w:rPr>
      <w:sz w:val="20"/>
      <w:szCs w:val="20"/>
    </w:rPr>
  </w:style>
  <w:style w:type="character" w:customStyle="1" w:styleId="CommentTextChar">
    <w:name w:val="Comment Text Char"/>
    <w:basedOn w:val="DefaultParagraphFont"/>
    <w:link w:val="CommentText"/>
    <w:uiPriority w:val="99"/>
    <w:rsid w:val="00D77AC3"/>
    <w:rPr>
      <w:rFonts w:ascii="Arial" w:hAnsi="Arial"/>
      <w:lang w:eastAsia="en-US"/>
    </w:rPr>
  </w:style>
  <w:style w:type="paragraph" w:styleId="CommentSubject">
    <w:name w:val="annotation subject"/>
    <w:basedOn w:val="CommentText"/>
    <w:next w:val="CommentText"/>
    <w:link w:val="CommentSubjectChar"/>
    <w:rsid w:val="00D77AC3"/>
    <w:rPr>
      <w:b/>
      <w:bCs/>
    </w:rPr>
  </w:style>
  <w:style w:type="character" w:customStyle="1" w:styleId="CommentSubjectChar">
    <w:name w:val="Comment Subject Char"/>
    <w:basedOn w:val="CommentTextChar"/>
    <w:link w:val="CommentSubject"/>
    <w:rsid w:val="00D77AC3"/>
    <w:rPr>
      <w:rFonts w:ascii="Arial" w:hAnsi="Arial"/>
      <w:b/>
      <w:bCs/>
      <w:lang w:eastAsia="en-US"/>
    </w:rPr>
  </w:style>
  <w:style w:type="paragraph" w:styleId="Revision">
    <w:name w:val="Revision"/>
    <w:hidden/>
    <w:uiPriority w:val="99"/>
    <w:semiHidden/>
    <w:rsid w:val="00D60A36"/>
    <w:rPr>
      <w:rFonts w:ascii="Arial" w:hAnsi="Arial"/>
      <w:sz w:val="24"/>
      <w:szCs w:val="24"/>
      <w:lang w:eastAsia="en-US"/>
    </w:rPr>
  </w:style>
  <w:style w:type="paragraph" w:styleId="PlainText">
    <w:name w:val="Plain Text"/>
    <w:basedOn w:val="Normal"/>
    <w:link w:val="PlainTextChar"/>
    <w:rsid w:val="00C90A3D"/>
    <w:rPr>
      <w:rFonts w:ascii="Consolas" w:hAnsi="Consolas" w:cs="Consolas"/>
      <w:sz w:val="21"/>
      <w:szCs w:val="21"/>
    </w:rPr>
  </w:style>
  <w:style w:type="character" w:customStyle="1" w:styleId="PlainTextChar">
    <w:name w:val="Plain Text Char"/>
    <w:basedOn w:val="DefaultParagraphFont"/>
    <w:link w:val="PlainText"/>
    <w:rsid w:val="00C90A3D"/>
    <w:rPr>
      <w:rFonts w:ascii="Consolas" w:hAnsi="Consolas" w:cs="Consolas"/>
      <w:sz w:val="21"/>
      <w:szCs w:val="21"/>
      <w:lang w:eastAsia="en-US"/>
    </w:rPr>
  </w:style>
  <w:style w:type="paragraph" w:styleId="NormalWeb">
    <w:name w:val="Normal (Web)"/>
    <w:basedOn w:val="Normal"/>
    <w:uiPriority w:val="99"/>
    <w:unhideWhenUsed/>
    <w:rsid w:val="001E652D"/>
    <w:pPr>
      <w:spacing w:before="100" w:beforeAutospacing="1" w:after="100" w:afterAutospacing="1"/>
    </w:pPr>
    <w:rPr>
      <w:rFonts w:ascii="Times New Roman" w:hAnsi="Times New Roman"/>
      <w:lang w:val="en-US"/>
    </w:rPr>
  </w:style>
  <w:style w:type="paragraph" w:styleId="NoSpacing">
    <w:name w:val="No Spacing"/>
    <w:basedOn w:val="Normal"/>
    <w:link w:val="NoSpacingChar"/>
    <w:uiPriority w:val="1"/>
    <w:qFormat/>
    <w:rsid w:val="001E652D"/>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1E652D"/>
    <w:rPr>
      <w:rFonts w:asciiTheme="minorHAnsi" w:eastAsiaTheme="minorHAnsi" w:hAnsiTheme="minorHAnsi" w:cstheme="minorBidi"/>
      <w:lang w:eastAsia="en-US" w:bidi="en-US"/>
    </w:rPr>
  </w:style>
  <w:style w:type="character" w:customStyle="1" w:styleId="st1">
    <w:name w:val="st1"/>
    <w:uiPriority w:val="99"/>
    <w:rsid w:val="00352E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180">
      <w:bodyDiv w:val="1"/>
      <w:marLeft w:val="0"/>
      <w:marRight w:val="0"/>
      <w:marTop w:val="0"/>
      <w:marBottom w:val="0"/>
      <w:divBdr>
        <w:top w:val="none" w:sz="0" w:space="0" w:color="auto"/>
        <w:left w:val="none" w:sz="0" w:space="0" w:color="auto"/>
        <w:bottom w:val="none" w:sz="0" w:space="0" w:color="auto"/>
        <w:right w:val="none" w:sz="0" w:space="0" w:color="auto"/>
      </w:divBdr>
      <w:divsChild>
        <w:div w:id="948047803">
          <w:marLeft w:val="547"/>
          <w:marRight w:val="0"/>
          <w:marTop w:val="72"/>
          <w:marBottom w:val="0"/>
          <w:divBdr>
            <w:top w:val="none" w:sz="0" w:space="0" w:color="auto"/>
            <w:left w:val="none" w:sz="0" w:space="0" w:color="auto"/>
            <w:bottom w:val="none" w:sz="0" w:space="0" w:color="auto"/>
            <w:right w:val="none" w:sz="0" w:space="0" w:color="auto"/>
          </w:divBdr>
        </w:div>
        <w:div w:id="1844123211">
          <w:marLeft w:val="547"/>
          <w:marRight w:val="0"/>
          <w:marTop w:val="72"/>
          <w:marBottom w:val="0"/>
          <w:divBdr>
            <w:top w:val="none" w:sz="0" w:space="0" w:color="auto"/>
            <w:left w:val="none" w:sz="0" w:space="0" w:color="auto"/>
            <w:bottom w:val="none" w:sz="0" w:space="0" w:color="auto"/>
            <w:right w:val="none" w:sz="0" w:space="0" w:color="auto"/>
          </w:divBdr>
        </w:div>
        <w:div w:id="1003359664">
          <w:marLeft w:val="547"/>
          <w:marRight w:val="0"/>
          <w:marTop w:val="72"/>
          <w:marBottom w:val="0"/>
          <w:divBdr>
            <w:top w:val="none" w:sz="0" w:space="0" w:color="auto"/>
            <w:left w:val="none" w:sz="0" w:space="0" w:color="auto"/>
            <w:bottom w:val="none" w:sz="0" w:space="0" w:color="auto"/>
            <w:right w:val="none" w:sz="0" w:space="0" w:color="auto"/>
          </w:divBdr>
        </w:div>
        <w:div w:id="283662235">
          <w:marLeft w:val="547"/>
          <w:marRight w:val="0"/>
          <w:marTop w:val="72"/>
          <w:marBottom w:val="0"/>
          <w:divBdr>
            <w:top w:val="none" w:sz="0" w:space="0" w:color="auto"/>
            <w:left w:val="none" w:sz="0" w:space="0" w:color="auto"/>
            <w:bottom w:val="none" w:sz="0" w:space="0" w:color="auto"/>
            <w:right w:val="none" w:sz="0" w:space="0" w:color="auto"/>
          </w:divBdr>
        </w:div>
        <w:div w:id="1651397687">
          <w:marLeft w:val="547"/>
          <w:marRight w:val="0"/>
          <w:marTop w:val="72"/>
          <w:marBottom w:val="0"/>
          <w:divBdr>
            <w:top w:val="none" w:sz="0" w:space="0" w:color="auto"/>
            <w:left w:val="none" w:sz="0" w:space="0" w:color="auto"/>
            <w:bottom w:val="none" w:sz="0" w:space="0" w:color="auto"/>
            <w:right w:val="none" w:sz="0" w:space="0" w:color="auto"/>
          </w:divBdr>
        </w:div>
        <w:div w:id="779375977">
          <w:marLeft w:val="547"/>
          <w:marRight w:val="0"/>
          <w:marTop w:val="72"/>
          <w:marBottom w:val="0"/>
          <w:divBdr>
            <w:top w:val="none" w:sz="0" w:space="0" w:color="auto"/>
            <w:left w:val="none" w:sz="0" w:space="0" w:color="auto"/>
            <w:bottom w:val="none" w:sz="0" w:space="0" w:color="auto"/>
            <w:right w:val="none" w:sz="0" w:space="0" w:color="auto"/>
          </w:divBdr>
        </w:div>
        <w:div w:id="1339384705">
          <w:marLeft w:val="547"/>
          <w:marRight w:val="0"/>
          <w:marTop w:val="72"/>
          <w:marBottom w:val="0"/>
          <w:divBdr>
            <w:top w:val="none" w:sz="0" w:space="0" w:color="auto"/>
            <w:left w:val="none" w:sz="0" w:space="0" w:color="auto"/>
            <w:bottom w:val="none" w:sz="0" w:space="0" w:color="auto"/>
            <w:right w:val="none" w:sz="0" w:space="0" w:color="auto"/>
          </w:divBdr>
        </w:div>
        <w:div w:id="785779433">
          <w:marLeft w:val="547"/>
          <w:marRight w:val="0"/>
          <w:marTop w:val="72"/>
          <w:marBottom w:val="0"/>
          <w:divBdr>
            <w:top w:val="none" w:sz="0" w:space="0" w:color="auto"/>
            <w:left w:val="none" w:sz="0" w:space="0" w:color="auto"/>
            <w:bottom w:val="none" w:sz="0" w:space="0" w:color="auto"/>
            <w:right w:val="none" w:sz="0" w:space="0" w:color="auto"/>
          </w:divBdr>
        </w:div>
        <w:div w:id="185141362">
          <w:marLeft w:val="547"/>
          <w:marRight w:val="0"/>
          <w:marTop w:val="72"/>
          <w:marBottom w:val="0"/>
          <w:divBdr>
            <w:top w:val="none" w:sz="0" w:space="0" w:color="auto"/>
            <w:left w:val="none" w:sz="0" w:space="0" w:color="auto"/>
            <w:bottom w:val="none" w:sz="0" w:space="0" w:color="auto"/>
            <w:right w:val="none" w:sz="0" w:space="0" w:color="auto"/>
          </w:divBdr>
        </w:div>
        <w:div w:id="344720809">
          <w:marLeft w:val="547"/>
          <w:marRight w:val="0"/>
          <w:marTop w:val="72"/>
          <w:marBottom w:val="0"/>
          <w:divBdr>
            <w:top w:val="none" w:sz="0" w:space="0" w:color="auto"/>
            <w:left w:val="none" w:sz="0" w:space="0" w:color="auto"/>
            <w:bottom w:val="none" w:sz="0" w:space="0" w:color="auto"/>
            <w:right w:val="none" w:sz="0" w:space="0" w:color="auto"/>
          </w:divBdr>
        </w:div>
        <w:div w:id="256523269">
          <w:marLeft w:val="547"/>
          <w:marRight w:val="0"/>
          <w:marTop w:val="72"/>
          <w:marBottom w:val="0"/>
          <w:divBdr>
            <w:top w:val="none" w:sz="0" w:space="0" w:color="auto"/>
            <w:left w:val="none" w:sz="0" w:space="0" w:color="auto"/>
            <w:bottom w:val="none" w:sz="0" w:space="0" w:color="auto"/>
            <w:right w:val="none" w:sz="0" w:space="0" w:color="auto"/>
          </w:divBdr>
        </w:div>
        <w:div w:id="1091043605">
          <w:marLeft w:val="547"/>
          <w:marRight w:val="0"/>
          <w:marTop w:val="72"/>
          <w:marBottom w:val="0"/>
          <w:divBdr>
            <w:top w:val="none" w:sz="0" w:space="0" w:color="auto"/>
            <w:left w:val="none" w:sz="0" w:space="0" w:color="auto"/>
            <w:bottom w:val="none" w:sz="0" w:space="0" w:color="auto"/>
            <w:right w:val="none" w:sz="0" w:space="0" w:color="auto"/>
          </w:divBdr>
        </w:div>
      </w:divsChild>
    </w:div>
    <w:div w:id="556546822">
      <w:bodyDiv w:val="1"/>
      <w:marLeft w:val="0"/>
      <w:marRight w:val="0"/>
      <w:marTop w:val="0"/>
      <w:marBottom w:val="0"/>
      <w:divBdr>
        <w:top w:val="none" w:sz="0" w:space="0" w:color="auto"/>
        <w:left w:val="none" w:sz="0" w:space="0" w:color="auto"/>
        <w:bottom w:val="none" w:sz="0" w:space="0" w:color="auto"/>
        <w:right w:val="none" w:sz="0" w:space="0" w:color="auto"/>
      </w:divBdr>
      <w:divsChild>
        <w:div w:id="1848324031">
          <w:marLeft w:val="547"/>
          <w:marRight w:val="0"/>
          <w:marTop w:val="106"/>
          <w:marBottom w:val="0"/>
          <w:divBdr>
            <w:top w:val="none" w:sz="0" w:space="0" w:color="auto"/>
            <w:left w:val="none" w:sz="0" w:space="0" w:color="auto"/>
            <w:bottom w:val="none" w:sz="0" w:space="0" w:color="auto"/>
            <w:right w:val="none" w:sz="0" w:space="0" w:color="auto"/>
          </w:divBdr>
        </w:div>
        <w:div w:id="339821621">
          <w:marLeft w:val="547"/>
          <w:marRight w:val="0"/>
          <w:marTop w:val="106"/>
          <w:marBottom w:val="0"/>
          <w:divBdr>
            <w:top w:val="none" w:sz="0" w:space="0" w:color="auto"/>
            <w:left w:val="none" w:sz="0" w:space="0" w:color="auto"/>
            <w:bottom w:val="none" w:sz="0" w:space="0" w:color="auto"/>
            <w:right w:val="none" w:sz="0" w:space="0" w:color="auto"/>
          </w:divBdr>
        </w:div>
        <w:div w:id="1612470288">
          <w:marLeft w:val="547"/>
          <w:marRight w:val="0"/>
          <w:marTop w:val="106"/>
          <w:marBottom w:val="0"/>
          <w:divBdr>
            <w:top w:val="none" w:sz="0" w:space="0" w:color="auto"/>
            <w:left w:val="none" w:sz="0" w:space="0" w:color="auto"/>
            <w:bottom w:val="none" w:sz="0" w:space="0" w:color="auto"/>
            <w:right w:val="none" w:sz="0" w:space="0" w:color="auto"/>
          </w:divBdr>
        </w:div>
        <w:div w:id="658070840">
          <w:marLeft w:val="547"/>
          <w:marRight w:val="0"/>
          <w:marTop w:val="106"/>
          <w:marBottom w:val="0"/>
          <w:divBdr>
            <w:top w:val="none" w:sz="0" w:space="0" w:color="auto"/>
            <w:left w:val="none" w:sz="0" w:space="0" w:color="auto"/>
            <w:bottom w:val="none" w:sz="0" w:space="0" w:color="auto"/>
            <w:right w:val="none" w:sz="0" w:space="0" w:color="auto"/>
          </w:divBdr>
        </w:div>
        <w:div w:id="593321556">
          <w:marLeft w:val="547"/>
          <w:marRight w:val="0"/>
          <w:marTop w:val="106"/>
          <w:marBottom w:val="0"/>
          <w:divBdr>
            <w:top w:val="none" w:sz="0" w:space="0" w:color="auto"/>
            <w:left w:val="none" w:sz="0" w:space="0" w:color="auto"/>
            <w:bottom w:val="none" w:sz="0" w:space="0" w:color="auto"/>
            <w:right w:val="none" w:sz="0" w:space="0" w:color="auto"/>
          </w:divBdr>
        </w:div>
        <w:div w:id="561410677">
          <w:marLeft w:val="547"/>
          <w:marRight w:val="0"/>
          <w:marTop w:val="106"/>
          <w:marBottom w:val="0"/>
          <w:divBdr>
            <w:top w:val="none" w:sz="0" w:space="0" w:color="auto"/>
            <w:left w:val="none" w:sz="0" w:space="0" w:color="auto"/>
            <w:bottom w:val="none" w:sz="0" w:space="0" w:color="auto"/>
            <w:right w:val="none" w:sz="0" w:space="0" w:color="auto"/>
          </w:divBdr>
        </w:div>
      </w:divsChild>
    </w:div>
    <w:div w:id="866220067">
      <w:bodyDiv w:val="1"/>
      <w:marLeft w:val="0"/>
      <w:marRight w:val="0"/>
      <w:marTop w:val="0"/>
      <w:marBottom w:val="0"/>
      <w:divBdr>
        <w:top w:val="none" w:sz="0" w:space="0" w:color="auto"/>
        <w:left w:val="none" w:sz="0" w:space="0" w:color="auto"/>
        <w:bottom w:val="none" w:sz="0" w:space="0" w:color="auto"/>
        <w:right w:val="none" w:sz="0" w:space="0" w:color="auto"/>
      </w:divBdr>
      <w:divsChild>
        <w:div w:id="1380975435">
          <w:marLeft w:val="547"/>
          <w:marRight w:val="0"/>
          <w:marTop w:val="115"/>
          <w:marBottom w:val="0"/>
          <w:divBdr>
            <w:top w:val="none" w:sz="0" w:space="0" w:color="auto"/>
            <w:left w:val="none" w:sz="0" w:space="0" w:color="auto"/>
            <w:bottom w:val="none" w:sz="0" w:space="0" w:color="auto"/>
            <w:right w:val="none" w:sz="0" w:space="0" w:color="auto"/>
          </w:divBdr>
        </w:div>
        <w:div w:id="521633701">
          <w:marLeft w:val="547"/>
          <w:marRight w:val="0"/>
          <w:marTop w:val="115"/>
          <w:marBottom w:val="0"/>
          <w:divBdr>
            <w:top w:val="none" w:sz="0" w:space="0" w:color="auto"/>
            <w:left w:val="none" w:sz="0" w:space="0" w:color="auto"/>
            <w:bottom w:val="none" w:sz="0" w:space="0" w:color="auto"/>
            <w:right w:val="none" w:sz="0" w:space="0" w:color="auto"/>
          </w:divBdr>
        </w:div>
        <w:div w:id="1742828774">
          <w:marLeft w:val="547"/>
          <w:marRight w:val="0"/>
          <w:marTop w:val="115"/>
          <w:marBottom w:val="0"/>
          <w:divBdr>
            <w:top w:val="none" w:sz="0" w:space="0" w:color="auto"/>
            <w:left w:val="none" w:sz="0" w:space="0" w:color="auto"/>
            <w:bottom w:val="none" w:sz="0" w:space="0" w:color="auto"/>
            <w:right w:val="none" w:sz="0" w:space="0" w:color="auto"/>
          </w:divBdr>
        </w:div>
        <w:div w:id="1158494893">
          <w:marLeft w:val="547"/>
          <w:marRight w:val="0"/>
          <w:marTop w:val="125"/>
          <w:marBottom w:val="0"/>
          <w:divBdr>
            <w:top w:val="none" w:sz="0" w:space="0" w:color="auto"/>
            <w:left w:val="none" w:sz="0" w:space="0" w:color="auto"/>
            <w:bottom w:val="none" w:sz="0" w:space="0" w:color="auto"/>
            <w:right w:val="none" w:sz="0" w:space="0" w:color="auto"/>
          </w:divBdr>
        </w:div>
        <w:div w:id="1998726321">
          <w:marLeft w:val="547"/>
          <w:marRight w:val="0"/>
          <w:marTop w:val="125"/>
          <w:marBottom w:val="0"/>
          <w:divBdr>
            <w:top w:val="none" w:sz="0" w:space="0" w:color="auto"/>
            <w:left w:val="none" w:sz="0" w:space="0" w:color="auto"/>
            <w:bottom w:val="none" w:sz="0" w:space="0" w:color="auto"/>
            <w:right w:val="none" w:sz="0" w:space="0" w:color="auto"/>
          </w:divBdr>
        </w:div>
      </w:divsChild>
    </w:div>
    <w:div w:id="968902026">
      <w:bodyDiv w:val="1"/>
      <w:marLeft w:val="0"/>
      <w:marRight w:val="0"/>
      <w:marTop w:val="0"/>
      <w:marBottom w:val="0"/>
      <w:divBdr>
        <w:top w:val="none" w:sz="0" w:space="0" w:color="auto"/>
        <w:left w:val="none" w:sz="0" w:space="0" w:color="auto"/>
        <w:bottom w:val="none" w:sz="0" w:space="0" w:color="auto"/>
        <w:right w:val="none" w:sz="0" w:space="0" w:color="auto"/>
      </w:divBdr>
    </w:div>
    <w:div w:id="1002659863">
      <w:bodyDiv w:val="1"/>
      <w:marLeft w:val="0"/>
      <w:marRight w:val="0"/>
      <w:marTop w:val="0"/>
      <w:marBottom w:val="0"/>
      <w:divBdr>
        <w:top w:val="none" w:sz="0" w:space="0" w:color="auto"/>
        <w:left w:val="none" w:sz="0" w:space="0" w:color="auto"/>
        <w:bottom w:val="none" w:sz="0" w:space="0" w:color="auto"/>
        <w:right w:val="none" w:sz="0" w:space="0" w:color="auto"/>
      </w:divBdr>
    </w:div>
    <w:div w:id="1075321536">
      <w:bodyDiv w:val="1"/>
      <w:marLeft w:val="0"/>
      <w:marRight w:val="0"/>
      <w:marTop w:val="0"/>
      <w:marBottom w:val="0"/>
      <w:divBdr>
        <w:top w:val="none" w:sz="0" w:space="0" w:color="auto"/>
        <w:left w:val="none" w:sz="0" w:space="0" w:color="auto"/>
        <w:bottom w:val="none" w:sz="0" w:space="0" w:color="auto"/>
        <w:right w:val="none" w:sz="0" w:space="0" w:color="auto"/>
      </w:divBdr>
      <w:divsChild>
        <w:div w:id="1203790776">
          <w:marLeft w:val="0"/>
          <w:marRight w:val="0"/>
          <w:marTop w:val="0"/>
          <w:marBottom w:val="0"/>
          <w:divBdr>
            <w:top w:val="none" w:sz="0" w:space="0" w:color="auto"/>
            <w:left w:val="none" w:sz="0" w:space="0" w:color="auto"/>
            <w:bottom w:val="none" w:sz="0" w:space="0" w:color="auto"/>
            <w:right w:val="none" w:sz="0" w:space="0" w:color="auto"/>
          </w:divBdr>
          <w:divsChild>
            <w:div w:id="1090741373">
              <w:marLeft w:val="0"/>
              <w:marRight w:val="0"/>
              <w:marTop w:val="0"/>
              <w:marBottom w:val="0"/>
              <w:divBdr>
                <w:top w:val="none" w:sz="0" w:space="0" w:color="auto"/>
                <w:left w:val="none" w:sz="0" w:space="0" w:color="auto"/>
                <w:bottom w:val="none" w:sz="0" w:space="0" w:color="auto"/>
                <w:right w:val="none" w:sz="0" w:space="0" w:color="auto"/>
              </w:divBdr>
              <w:divsChild>
                <w:div w:id="2015066793">
                  <w:marLeft w:val="0"/>
                  <w:marRight w:val="0"/>
                  <w:marTop w:val="0"/>
                  <w:marBottom w:val="0"/>
                  <w:divBdr>
                    <w:top w:val="none" w:sz="0" w:space="0" w:color="auto"/>
                    <w:left w:val="none" w:sz="0" w:space="0" w:color="auto"/>
                    <w:bottom w:val="none" w:sz="0" w:space="0" w:color="auto"/>
                    <w:right w:val="none" w:sz="0" w:space="0" w:color="auto"/>
                  </w:divBdr>
                  <w:divsChild>
                    <w:div w:id="1478885643">
                      <w:marLeft w:val="150"/>
                      <w:marRight w:val="150"/>
                      <w:marTop w:val="0"/>
                      <w:marBottom w:val="0"/>
                      <w:divBdr>
                        <w:top w:val="none" w:sz="0" w:space="0" w:color="auto"/>
                        <w:left w:val="none" w:sz="0" w:space="0" w:color="auto"/>
                        <w:bottom w:val="none" w:sz="0" w:space="0" w:color="auto"/>
                        <w:right w:val="none" w:sz="0" w:space="0" w:color="auto"/>
                      </w:divBdr>
                      <w:divsChild>
                        <w:div w:id="4139664">
                          <w:marLeft w:val="0"/>
                          <w:marRight w:val="0"/>
                          <w:marTop w:val="0"/>
                          <w:marBottom w:val="0"/>
                          <w:divBdr>
                            <w:top w:val="none" w:sz="0" w:space="0" w:color="auto"/>
                            <w:left w:val="none" w:sz="0" w:space="0" w:color="auto"/>
                            <w:bottom w:val="none" w:sz="0" w:space="0" w:color="auto"/>
                            <w:right w:val="none" w:sz="0" w:space="0" w:color="auto"/>
                          </w:divBdr>
                          <w:divsChild>
                            <w:div w:id="1963614879">
                              <w:marLeft w:val="0"/>
                              <w:marRight w:val="0"/>
                              <w:marTop w:val="0"/>
                              <w:marBottom w:val="300"/>
                              <w:divBdr>
                                <w:top w:val="none" w:sz="0" w:space="0" w:color="auto"/>
                                <w:left w:val="none" w:sz="0" w:space="0" w:color="auto"/>
                                <w:bottom w:val="none" w:sz="0" w:space="0" w:color="auto"/>
                                <w:right w:val="none" w:sz="0" w:space="0" w:color="auto"/>
                              </w:divBdr>
                              <w:divsChild>
                                <w:div w:id="1967588926">
                                  <w:marLeft w:val="0"/>
                                  <w:marRight w:val="0"/>
                                  <w:marTop w:val="0"/>
                                  <w:marBottom w:val="0"/>
                                  <w:divBdr>
                                    <w:top w:val="none" w:sz="0" w:space="0" w:color="auto"/>
                                    <w:left w:val="none" w:sz="0" w:space="0" w:color="auto"/>
                                    <w:bottom w:val="none" w:sz="0" w:space="0" w:color="auto"/>
                                    <w:right w:val="none" w:sz="0" w:space="0" w:color="auto"/>
                                  </w:divBdr>
                                  <w:divsChild>
                                    <w:div w:id="410932880">
                                      <w:marLeft w:val="0"/>
                                      <w:marRight w:val="0"/>
                                      <w:marTop w:val="0"/>
                                      <w:marBottom w:val="0"/>
                                      <w:divBdr>
                                        <w:top w:val="none" w:sz="0" w:space="0" w:color="auto"/>
                                        <w:left w:val="none" w:sz="0" w:space="0" w:color="auto"/>
                                        <w:bottom w:val="none" w:sz="0" w:space="0" w:color="auto"/>
                                        <w:right w:val="none" w:sz="0" w:space="0" w:color="auto"/>
                                      </w:divBdr>
                                      <w:divsChild>
                                        <w:div w:id="518667642">
                                          <w:marLeft w:val="0"/>
                                          <w:marRight w:val="0"/>
                                          <w:marTop w:val="0"/>
                                          <w:marBottom w:val="0"/>
                                          <w:divBdr>
                                            <w:top w:val="none" w:sz="0" w:space="0" w:color="auto"/>
                                            <w:left w:val="none" w:sz="0" w:space="0" w:color="auto"/>
                                            <w:bottom w:val="none" w:sz="0" w:space="0" w:color="auto"/>
                                            <w:right w:val="none" w:sz="0" w:space="0" w:color="auto"/>
                                          </w:divBdr>
                                          <w:divsChild>
                                            <w:div w:id="657265659">
                                              <w:marLeft w:val="0"/>
                                              <w:marRight w:val="5"/>
                                              <w:marTop w:val="0"/>
                                              <w:marBottom w:val="0"/>
                                              <w:divBdr>
                                                <w:top w:val="none" w:sz="0" w:space="0" w:color="auto"/>
                                                <w:left w:val="none" w:sz="0" w:space="0" w:color="auto"/>
                                                <w:bottom w:val="none" w:sz="0" w:space="0" w:color="auto"/>
                                                <w:right w:val="none" w:sz="0" w:space="0" w:color="auto"/>
                                              </w:divBdr>
                                              <w:divsChild>
                                                <w:div w:id="1336566095">
                                                  <w:marLeft w:val="0"/>
                                                  <w:marRight w:val="0"/>
                                                  <w:marTop w:val="0"/>
                                                  <w:marBottom w:val="0"/>
                                                  <w:divBdr>
                                                    <w:top w:val="none" w:sz="0" w:space="0" w:color="auto"/>
                                                    <w:left w:val="none" w:sz="0" w:space="0" w:color="auto"/>
                                                    <w:bottom w:val="none" w:sz="0" w:space="0" w:color="auto"/>
                                                    <w:right w:val="none" w:sz="0" w:space="0" w:color="auto"/>
                                                  </w:divBdr>
                                                  <w:divsChild>
                                                    <w:div w:id="671029415">
                                                      <w:marLeft w:val="0"/>
                                                      <w:marRight w:val="0"/>
                                                      <w:marTop w:val="0"/>
                                                      <w:marBottom w:val="0"/>
                                                      <w:divBdr>
                                                        <w:top w:val="none" w:sz="0" w:space="0" w:color="auto"/>
                                                        <w:left w:val="none" w:sz="0" w:space="0" w:color="auto"/>
                                                        <w:bottom w:val="none" w:sz="0" w:space="0" w:color="auto"/>
                                                        <w:right w:val="none" w:sz="0" w:space="0" w:color="auto"/>
                                                      </w:divBdr>
                                                      <w:divsChild>
                                                        <w:div w:id="1628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745957">
      <w:bodyDiv w:val="1"/>
      <w:marLeft w:val="0"/>
      <w:marRight w:val="0"/>
      <w:marTop w:val="0"/>
      <w:marBottom w:val="0"/>
      <w:divBdr>
        <w:top w:val="none" w:sz="0" w:space="0" w:color="auto"/>
        <w:left w:val="none" w:sz="0" w:space="0" w:color="auto"/>
        <w:bottom w:val="none" w:sz="0" w:space="0" w:color="auto"/>
        <w:right w:val="none" w:sz="0" w:space="0" w:color="auto"/>
      </w:divBdr>
    </w:div>
    <w:div w:id="1374773435">
      <w:bodyDiv w:val="1"/>
      <w:marLeft w:val="0"/>
      <w:marRight w:val="0"/>
      <w:marTop w:val="0"/>
      <w:marBottom w:val="0"/>
      <w:divBdr>
        <w:top w:val="none" w:sz="0" w:space="0" w:color="auto"/>
        <w:left w:val="none" w:sz="0" w:space="0" w:color="auto"/>
        <w:bottom w:val="none" w:sz="0" w:space="0" w:color="auto"/>
        <w:right w:val="none" w:sz="0" w:space="0" w:color="auto"/>
      </w:divBdr>
    </w:div>
    <w:div w:id="1462189578">
      <w:bodyDiv w:val="1"/>
      <w:marLeft w:val="0"/>
      <w:marRight w:val="0"/>
      <w:marTop w:val="0"/>
      <w:marBottom w:val="0"/>
      <w:divBdr>
        <w:top w:val="none" w:sz="0" w:space="0" w:color="auto"/>
        <w:left w:val="none" w:sz="0" w:space="0" w:color="auto"/>
        <w:bottom w:val="none" w:sz="0" w:space="0" w:color="auto"/>
        <w:right w:val="none" w:sz="0" w:space="0" w:color="auto"/>
      </w:divBdr>
    </w:div>
    <w:div w:id="1560558025">
      <w:bodyDiv w:val="1"/>
      <w:marLeft w:val="0"/>
      <w:marRight w:val="0"/>
      <w:marTop w:val="0"/>
      <w:marBottom w:val="0"/>
      <w:divBdr>
        <w:top w:val="none" w:sz="0" w:space="0" w:color="auto"/>
        <w:left w:val="none" w:sz="0" w:space="0" w:color="auto"/>
        <w:bottom w:val="none" w:sz="0" w:space="0" w:color="auto"/>
        <w:right w:val="none" w:sz="0" w:space="0" w:color="auto"/>
      </w:divBdr>
      <w:divsChild>
        <w:div w:id="789931717">
          <w:marLeft w:val="547"/>
          <w:marRight w:val="0"/>
          <w:marTop w:val="96"/>
          <w:marBottom w:val="0"/>
          <w:divBdr>
            <w:top w:val="none" w:sz="0" w:space="0" w:color="auto"/>
            <w:left w:val="none" w:sz="0" w:space="0" w:color="auto"/>
            <w:bottom w:val="none" w:sz="0" w:space="0" w:color="auto"/>
            <w:right w:val="none" w:sz="0" w:space="0" w:color="auto"/>
          </w:divBdr>
        </w:div>
        <w:div w:id="1953128193">
          <w:marLeft w:val="547"/>
          <w:marRight w:val="0"/>
          <w:marTop w:val="96"/>
          <w:marBottom w:val="0"/>
          <w:divBdr>
            <w:top w:val="none" w:sz="0" w:space="0" w:color="auto"/>
            <w:left w:val="none" w:sz="0" w:space="0" w:color="auto"/>
            <w:bottom w:val="none" w:sz="0" w:space="0" w:color="auto"/>
            <w:right w:val="none" w:sz="0" w:space="0" w:color="auto"/>
          </w:divBdr>
        </w:div>
        <w:div w:id="1944459240">
          <w:marLeft w:val="547"/>
          <w:marRight w:val="0"/>
          <w:marTop w:val="96"/>
          <w:marBottom w:val="0"/>
          <w:divBdr>
            <w:top w:val="none" w:sz="0" w:space="0" w:color="auto"/>
            <w:left w:val="none" w:sz="0" w:space="0" w:color="auto"/>
            <w:bottom w:val="none" w:sz="0" w:space="0" w:color="auto"/>
            <w:right w:val="none" w:sz="0" w:space="0" w:color="auto"/>
          </w:divBdr>
        </w:div>
        <w:div w:id="1059135070">
          <w:marLeft w:val="547"/>
          <w:marRight w:val="0"/>
          <w:marTop w:val="96"/>
          <w:marBottom w:val="0"/>
          <w:divBdr>
            <w:top w:val="none" w:sz="0" w:space="0" w:color="auto"/>
            <w:left w:val="none" w:sz="0" w:space="0" w:color="auto"/>
            <w:bottom w:val="none" w:sz="0" w:space="0" w:color="auto"/>
            <w:right w:val="none" w:sz="0" w:space="0" w:color="auto"/>
          </w:divBdr>
        </w:div>
        <w:div w:id="1888909747">
          <w:marLeft w:val="547"/>
          <w:marRight w:val="0"/>
          <w:marTop w:val="96"/>
          <w:marBottom w:val="0"/>
          <w:divBdr>
            <w:top w:val="none" w:sz="0" w:space="0" w:color="auto"/>
            <w:left w:val="none" w:sz="0" w:space="0" w:color="auto"/>
            <w:bottom w:val="none" w:sz="0" w:space="0" w:color="auto"/>
            <w:right w:val="none" w:sz="0" w:space="0" w:color="auto"/>
          </w:divBdr>
        </w:div>
        <w:div w:id="802693103">
          <w:marLeft w:val="547"/>
          <w:marRight w:val="0"/>
          <w:marTop w:val="96"/>
          <w:marBottom w:val="0"/>
          <w:divBdr>
            <w:top w:val="none" w:sz="0" w:space="0" w:color="auto"/>
            <w:left w:val="none" w:sz="0" w:space="0" w:color="auto"/>
            <w:bottom w:val="none" w:sz="0" w:space="0" w:color="auto"/>
            <w:right w:val="none" w:sz="0" w:space="0" w:color="auto"/>
          </w:divBdr>
        </w:div>
        <w:div w:id="782574036">
          <w:marLeft w:val="547"/>
          <w:marRight w:val="0"/>
          <w:marTop w:val="96"/>
          <w:marBottom w:val="0"/>
          <w:divBdr>
            <w:top w:val="none" w:sz="0" w:space="0" w:color="auto"/>
            <w:left w:val="none" w:sz="0" w:space="0" w:color="auto"/>
            <w:bottom w:val="none" w:sz="0" w:space="0" w:color="auto"/>
            <w:right w:val="none" w:sz="0" w:space="0" w:color="auto"/>
          </w:divBdr>
        </w:div>
      </w:divsChild>
    </w:div>
    <w:div w:id="1592347358">
      <w:bodyDiv w:val="1"/>
      <w:marLeft w:val="0"/>
      <w:marRight w:val="0"/>
      <w:marTop w:val="0"/>
      <w:marBottom w:val="0"/>
      <w:divBdr>
        <w:top w:val="none" w:sz="0" w:space="0" w:color="auto"/>
        <w:left w:val="none" w:sz="0" w:space="0" w:color="auto"/>
        <w:bottom w:val="none" w:sz="0" w:space="0" w:color="auto"/>
        <w:right w:val="none" w:sz="0" w:space="0" w:color="auto"/>
      </w:divBdr>
    </w:div>
    <w:div w:id="1607618917">
      <w:bodyDiv w:val="1"/>
      <w:marLeft w:val="0"/>
      <w:marRight w:val="0"/>
      <w:marTop w:val="0"/>
      <w:marBottom w:val="0"/>
      <w:divBdr>
        <w:top w:val="none" w:sz="0" w:space="0" w:color="auto"/>
        <w:left w:val="none" w:sz="0" w:space="0" w:color="auto"/>
        <w:bottom w:val="none" w:sz="0" w:space="0" w:color="auto"/>
        <w:right w:val="none" w:sz="0" w:space="0" w:color="auto"/>
      </w:divBdr>
      <w:divsChild>
        <w:div w:id="1749958426">
          <w:marLeft w:val="0"/>
          <w:marRight w:val="0"/>
          <w:marTop w:val="0"/>
          <w:marBottom w:val="0"/>
          <w:divBdr>
            <w:top w:val="none" w:sz="0" w:space="0" w:color="auto"/>
            <w:left w:val="none" w:sz="0" w:space="0" w:color="auto"/>
            <w:bottom w:val="none" w:sz="0" w:space="0" w:color="auto"/>
            <w:right w:val="none" w:sz="0" w:space="0" w:color="auto"/>
          </w:divBdr>
          <w:divsChild>
            <w:div w:id="1022441542">
              <w:marLeft w:val="0"/>
              <w:marRight w:val="0"/>
              <w:marTop w:val="0"/>
              <w:marBottom w:val="0"/>
              <w:divBdr>
                <w:top w:val="none" w:sz="0" w:space="0" w:color="auto"/>
                <w:left w:val="none" w:sz="0" w:space="0" w:color="auto"/>
                <w:bottom w:val="none" w:sz="0" w:space="0" w:color="auto"/>
                <w:right w:val="none" w:sz="0" w:space="0" w:color="auto"/>
              </w:divBdr>
              <w:divsChild>
                <w:div w:id="977152875">
                  <w:marLeft w:val="0"/>
                  <w:marRight w:val="0"/>
                  <w:marTop w:val="0"/>
                  <w:marBottom w:val="0"/>
                  <w:divBdr>
                    <w:top w:val="none" w:sz="0" w:space="0" w:color="auto"/>
                    <w:left w:val="none" w:sz="0" w:space="0" w:color="auto"/>
                    <w:bottom w:val="none" w:sz="0" w:space="0" w:color="auto"/>
                    <w:right w:val="none" w:sz="0" w:space="0" w:color="auto"/>
                  </w:divBdr>
                  <w:divsChild>
                    <w:div w:id="1741168173">
                      <w:marLeft w:val="150"/>
                      <w:marRight w:val="150"/>
                      <w:marTop w:val="0"/>
                      <w:marBottom w:val="0"/>
                      <w:divBdr>
                        <w:top w:val="none" w:sz="0" w:space="0" w:color="auto"/>
                        <w:left w:val="none" w:sz="0" w:space="0" w:color="auto"/>
                        <w:bottom w:val="none" w:sz="0" w:space="0" w:color="auto"/>
                        <w:right w:val="none" w:sz="0" w:space="0" w:color="auto"/>
                      </w:divBdr>
                      <w:divsChild>
                        <w:div w:id="1848205441">
                          <w:marLeft w:val="0"/>
                          <w:marRight w:val="0"/>
                          <w:marTop w:val="0"/>
                          <w:marBottom w:val="0"/>
                          <w:divBdr>
                            <w:top w:val="none" w:sz="0" w:space="0" w:color="auto"/>
                            <w:left w:val="none" w:sz="0" w:space="0" w:color="auto"/>
                            <w:bottom w:val="none" w:sz="0" w:space="0" w:color="auto"/>
                            <w:right w:val="none" w:sz="0" w:space="0" w:color="auto"/>
                          </w:divBdr>
                          <w:divsChild>
                            <w:div w:id="710149770">
                              <w:marLeft w:val="0"/>
                              <w:marRight w:val="0"/>
                              <w:marTop w:val="0"/>
                              <w:marBottom w:val="300"/>
                              <w:divBdr>
                                <w:top w:val="none" w:sz="0" w:space="0" w:color="auto"/>
                                <w:left w:val="none" w:sz="0" w:space="0" w:color="auto"/>
                                <w:bottom w:val="none" w:sz="0" w:space="0" w:color="auto"/>
                                <w:right w:val="none" w:sz="0" w:space="0" w:color="auto"/>
                              </w:divBdr>
                              <w:divsChild>
                                <w:div w:id="766730011">
                                  <w:marLeft w:val="0"/>
                                  <w:marRight w:val="0"/>
                                  <w:marTop w:val="0"/>
                                  <w:marBottom w:val="0"/>
                                  <w:divBdr>
                                    <w:top w:val="none" w:sz="0" w:space="0" w:color="auto"/>
                                    <w:left w:val="none" w:sz="0" w:space="0" w:color="auto"/>
                                    <w:bottom w:val="none" w:sz="0" w:space="0" w:color="auto"/>
                                    <w:right w:val="none" w:sz="0" w:space="0" w:color="auto"/>
                                  </w:divBdr>
                                  <w:divsChild>
                                    <w:div w:id="204486060">
                                      <w:marLeft w:val="0"/>
                                      <w:marRight w:val="0"/>
                                      <w:marTop w:val="0"/>
                                      <w:marBottom w:val="0"/>
                                      <w:divBdr>
                                        <w:top w:val="none" w:sz="0" w:space="0" w:color="auto"/>
                                        <w:left w:val="none" w:sz="0" w:space="0" w:color="auto"/>
                                        <w:bottom w:val="none" w:sz="0" w:space="0" w:color="auto"/>
                                        <w:right w:val="none" w:sz="0" w:space="0" w:color="auto"/>
                                      </w:divBdr>
                                      <w:divsChild>
                                        <w:div w:id="131825380">
                                          <w:marLeft w:val="0"/>
                                          <w:marRight w:val="0"/>
                                          <w:marTop w:val="0"/>
                                          <w:marBottom w:val="0"/>
                                          <w:divBdr>
                                            <w:top w:val="none" w:sz="0" w:space="0" w:color="auto"/>
                                            <w:left w:val="none" w:sz="0" w:space="0" w:color="auto"/>
                                            <w:bottom w:val="none" w:sz="0" w:space="0" w:color="auto"/>
                                            <w:right w:val="none" w:sz="0" w:space="0" w:color="auto"/>
                                          </w:divBdr>
                                          <w:divsChild>
                                            <w:div w:id="182284780">
                                              <w:marLeft w:val="0"/>
                                              <w:marRight w:val="5"/>
                                              <w:marTop w:val="0"/>
                                              <w:marBottom w:val="0"/>
                                              <w:divBdr>
                                                <w:top w:val="none" w:sz="0" w:space="0" w:color="auto"/>
                                                <w:left w:val="none" w:sz="0" w:space="0" w:color="auto"/>
                                                <w:bottom w:val="none" w:sz="0" w:space="0" w:color="auto"/>
                                                <w:right w:val="none" w:sz="0" w:space="0" w:color="auto"/>
                                              </w:divBdr>
                                              <w:divsChild>
                                                <w:div w:id="1089539910">
                                                  <w:marLeft w:val="0"/>
                                                  <w:marRight w:val="0"/>
                                                  <w:marTop w:val="0"/>
                                                  <w:marBottom w:val="0"/>
                                                  <w:divBdr>
                                                    <w:top w:val="none" w:sz="0" w:space="0" w:color="auto"/>
                                                    <w:left w:val="none" w:sz="0" w:space="0" w:color="auto"/>
                                                    <w:bottom w:val="none" w:sz="0" w:space="0" w:color="auto"/>
                                                    <w:right w:val="none" w:sz="0" w:space="0" w:color="auto"/>
                                                  </w:divBdr>
                                                  <w:divsChild>
                                                    <w:div w:id="1634292156">
                                                      <w:marLeft w:val="0"/>
                                                      <w:marRight w:val="0"/>
                                                      <w:marTop w:val="0"/>
                                                      <w:marBottom w:val="0"/>
                                                      <w:divBdr>
                                                        <w:top w:val="none" w:sz="0" w:space="0" w:color="auto"/>
                                                        <w:left w:val="none" w:sz="0" w:space="0" w:color="auto"/>
                                                        <w:bottom w:val="none" w:sz="0" w:space="0" w:color="auto"/>
                                                        <w:right w:val="none" w:sz="0" w:space="0" w:color="auto"/>
                                                      </w:divBdr>
                                                      <w:divsChild>
                                                        <w:div w:id="1652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975172">
      <w:bodyDiv w:val="1"/>
      <w:marLeft w:val="0"/>
      <w:marRight w:val="0"/>
      <w:marTop w:val="0"/>
      <w:marBottom w:val="0"/>
      <w:divBdr>
        <w:top w:val="none" w:sz="0" w:space="0" w:color="auto"/>
        <w:left w:val="none" w:sz="0" w:space="0" w:color="auto"/>
        <w:bottom w:val="none" w:sz="0" w:space="0" w:color="auto"/>
        <w:right w:val="none" w:sz="0" w:space="0" w:color="auto"/>
      </w:divBdr>
      <w:divsChild>
        <w:div w:id="271327390">
          <w:marLeft w:val="547"/>
          <w:marRight w:val="0"/>
          <w:marTop w:val="82"/>
          <w:marBottom w:val="0"/>
          <w:divBdr>
            <w:top w:val="none" w:sz="0" w:space="0" w:color="auto"/>
            <w:left w:val="none" w:sz="0" w:space="0" w:color="auto"/>
            <w:bottom w:val="none" w:sz="0" w:space="0" w:color="auto"/>
            <w:right w:val="none" w:sz="0" w:space="0" w:color="auto"/>
          </w:divBdr>
        </w:div>
        <w:div w:id="185600503">
          <w:marLeft w:val="547"/>
          <w:marRight w:val="0"/>
          <w:marTop w:val="82"/>
          <w:marBottom w:val="0"/>
          <w:divBdr>
            <w:top w:val="none" w:sz="0" w:space="0" w:color="auto"/>
            <w:left w:val="none" w:sz="0" w:space="0" w:color="auto"/>
            <w:bottom w:val="none" w:sz="0" w:space="0" w:color="auto"/>
            <w:right w:val="none" w:sz="0" w:space="0" w:color="auto"/>
          </w:divBdr>
        </w:div>
        <w:div w:id="1696811478">
          <w:marLeft w:val="547"/>
          <w:marRight w:val="0"/>
          <w:marTop w:val="82"/>
          <w:marBottom w:val="0"/>
          <w:divBdr>
            <w:top w:val="none" w:sz="0" w:space="0" w:color="auto"/>
            <w:left w:val="none" w:sz="0" w:space="0" w:color="auto"/>
            <w:bottom w:val="none" w:sz="0" w:space="0" w:color="auto"/>
            <w:right w:val="none" w:sz="0" w:space="0" w:color="auto"/>
          </w:divBdr>
        </w:div>
        <w:div w:id="2113166714">
          <w:marLeft w:val="547"/>
          <w:marRight w:val="0"/>
          <w:marTop w:val="82"/>
          <w:marBottom w:val="0"/>
          <w:divBdr>
            <w:top w:val="none" w:sz="0" w:space="0" w:color="auto"/>
            <w:left w:val="none" w:sz="0" w:space="0" w:color="auto"/>
            <w:bottom w:val="none" w:sz="0" w:space="0" w:color="auto"/>
            <w:right w:val="none" w:sz="0" w:space="0" w:color="auto"/>
          </w:divBdr>
        </w:div>
        <w:div w:id="1130631220">
          <w:marLeft w:val="547"/>
          <w:marRight w:val="0"/>
          <w:marTop w:val="82"/>
          <w:marBottom w:val="0"/>
          <w:divBdr>
            <w:top w:val="none" w:sz="0" w:space="0" w:color="auto"/>
            <w:left w:val="none" w:sz="0" w:space="0" w:color="auto"/>
            <w:bottom w:val="none" w:sz="0" w:space="0" w:color="auto"/>
            <w:right w:val="none" w:sz="0" w:space="0" w:color="auto"/>
          </w:divBdr>
        </w:div>
        <w:div w:id="1451360459">
          <w:marLeft w:val="547"/>
          <w:marRight w:val="0"/>
          <w:marTop w:val="82"/>
          <w:marBottom w:val="0"/>
          <w:divBdr>
            <w:top w:val="none" w:sz="0" w:space="0" w:color="auto"/>
            <w:left w:val="none" w:sz="0" w:space="0" w:color="auto"/>
            <w:bottom w:val="none" w:sz="0" w:space="0" w:color="auto"/>
            <w:right w:val="none" w:sz="0" w:space="0" w:color="auto"/>
          </w:divBdr>
        </w:div>
        <w:div w:id="1334793280">
          <w:marLeft w:val="547"/>
          <w:marRight w:val="0"/>
          <w:marTop w:val="82"/>
          <w:marBottom w:val="0"/>
          <w:divBdr>
            <w:top w:val="none" w:sz="0" w:space="0" w:color="auto"/>
            <w:left w:val="none" w:sz="0" w:space="0" w:color="auto"/>
            <w:bottom w:val="none" w:sz="0" w:space="0" w:color="auto"/>
            <w:right w:val="none" w:sz="0" w:space="0" w:color="auto"/>
          </w:divBdr>
        </w:div>
        <w:div w:id="45107444">
          <w:marLeft w:val="547"/>
          <w:marRight w:val="0"/>
          <w:marTop w:val="82"/>
          <w:marBottom w:val="0"/>
          <w:divBdr>
            <w:top w:val="none" w:sz="0" w:space="0" w:color="auto"/>
            <w:left w:val="none" w:sz="0" w:space="0" w:color="auto"/>
            <w:bottom w:val="none" w:sz="0" w:space="0" w:color="auto"/>
            <w:right w:val="none" w:sz="0" w:space="0" w:color="auto"/>
          </w:divBdr>
        </w:div>
        <w:div w:id="1103914837">
          <w:marLeft w:val="547"/>
          <w:marRight w:val="0"/>
          <w:marTop w:val="82"/>
          <w:marBottom w:val="0"/>
          <w:divBdr>
            <w:top w:val="none" w:sz="0" w:space="0" w:color="auto"/>
            <w:left w:val="none" w:sz="0" w:space="0" w:color="auto"/>
            <w:bottom w:val="none" w:sz="0" w:space="0" w:color="auto"/>
            <w:right w:val="none" w:sz="0" w:space="0" w:color="auto"/>
          </w:divBdr>
        </w:div>
        <w:div w:id="589703459">
          <w:marLeft w:val="547"/>
          <w:marRight w:val="0"/>
          <w:marTop w:val="82"/>
          <w:marBottom w:val="0"/>
          <w:divBdr>
            <w:top w:val="none" w:sz="0" w:space="0" w:color="auto"/>
            <w:left w:val="none" w:sz="0" w:space="0" w:color="auto"/>
            <w:bottom w:val="none" w:sz="0" w:space="0" w:color="auto"/>
            <w:right w:val="none" w:sz="0" w:space="0" w:color="auto"/>
          </w:divBdr>
        </w:div>
        <w:div w:id="1990598624">
          <w:marLeft w:val="547"/>
          <w:marRight w:val="0"/>
          <w:marTop w:val="82"/>
          <w:marBottom w:val="0"/>
          <w:divBdr>
            <w:top w:val="none" w:sz="0" w:space="0" w:color="auto"/>
            <w:left w:val="none" w:sz="0" w:space="0" w:color="auto"/>
            <w:bottom w:val="none" w:sz="0" w:space="0" w:color="auto"/>
            <w:right w:val="none" w:sz="0" w:space="0" w:color="auto"/>
          </w:divBdr>
        </w:div>
      </w:divsChild>
    </w:div>
    <w:div w:id="1883058164">
      <w:bodyDiv w:val="1"/>
      <w:marLeft w:val="0"/>
      <w:marRight w:val="0"/>
      <w:marTop w:val="0"/>
      <w:marBottom w:val="0"/>
      <w:divBdr>
        <w:top w:val="none" w:sz="0" w:space="0" w:color="auto"/>
        <w:left w:val="none" w:sz="0" w:space="0" w:color="auto"/>
        <w:bottom w:val="none" w:sz="0" w:space="0" w:color="auto"/>
        <w:right w:val="none" w:sz="0" w:space="0" w:color="auto"/>
      </w:divBdr>
      <w:divsChild>
        <w:div w:id="173808595">
          <w:marLeft w:val="547"/>
          <w:marRight w:val="0"/>
          <w:marTop w:val="106"/>
          <w:marBottom w:val="0"/>
          <w:divBdr>
            <w:top w:val="none" w:sz="0" w:space="0" w:color="auto"/>
            <w:left w:val="none" w:sz="0" w:space="0" w:color="auto"/>
            <w:bottom w:val="none" w:sz="0" w:space="0" w:color="auto"/>
            <w:right w:val="none" w:sz="0" w:space="0" w:color="auto"/>
          </w:divBdr>
        </w:div>
        <w:div w:id="930702237">
          <w:marLeft w:val="547"/>
          <w:marRight w:val="0"/>
          <w:marTop w:val="106"/>
          <w:marBottom w:val="0"/>
          <w:divBdr>
            <w:top w:val="none" w:sz="0" w:space="0" w:color="auto"/>
            <w:left w:val="none" w:sz="0" w:space="0" w:color="auto"/>
            <w:bottom w:val="none" w:sz="0" w:space="0" w:color="auto"/>
            <w:right w:val="none" w:sz="0" w:space="0" w:color="auto"/>
          </w:divBdr>
        </w:div>
        <w:div w:id="962930289">
          <w:marLeft w:val="547"/>
          <w:marRight w:val="0"/>
          <w:marTop w:val="106"/>
          <w:marBottom w:val="0"/>
          <w:divBdr>
            <w:top w:val="none" w:sz="0" w:space="0" w:color="auto"/>
            <w:left w:val="none" w:sz="0" w:space="0" w:color="auto"/>
            <w:bottom w:val="none" w:sz="0" w:space="0" w:color="auto"/>
            <w:right w:val="none" w:sz="0" w:space="0" w:color="auto"/>
          </w:divBdr>
        </w:div>
        <w:div w:id="1363284045">
          <w:marLeft w:val="547"/>
          <w:marRight w:val="0"/>
          <w:marTop w:val="106"/>
          <w:marBottom w:val="0"/>
          <w:divBdr>
            <w:top w:val="none" w:sz="0" w:space="0" w:color="auto"/>
            <w:left w:val="none" w:sz="0" w:space="0" w:color="auto"/>
            <w:bottom w:val="none" w:sz="0" w:space="0" w:color="auto"/>
            <w:right w:val="none" w:sz="0" w:space="0" w:color="auto"/>
          </w:divBdr>
        </w:div>
        <w:div w:id="1160077251">
          <w:marLeft w:val="547"/>
          <w:marRight w:val="0"/>
          <w:marTop w:val="106"/>
          <w:marBottom w:val="0"/>
          <w:divBdr>
            <w:top w:val="none" w:sz="0" w:space="0" w:color="auto"/>
            <w:left w:val="none" w:sz="0" w:space="0" w:color="auto"/>
            <w:bottom w:val="none" w:sz="0" w:space="0" w:color="auto"/>
            <w:right w:val="none" w:sz="0" w:space="0" w:color="auto"/>
          </w:divBdr>
        </w:div>
        <w:div w:id="1333099235">
          <w:marLeft w:val="547"/>
          <w:marRight w:val="0"/>
          <w:marTop w:val="106"/>
          <w:marBottom w:val="0"/>
          <w:divBdr>
            <w:top w:val="none" w:sz="0" w:space="0" w:color="auto"/>
            <w:left w:val="none" w:sz="0" w:space="0" w:color="auto"/>
            <w:bottom w:val="none" w:sz="0" w:space="0" w:color="auto"/>
            <w:right w:val="none" w:sz="0" w:space="0" w:color="auto"/>
          </w:divBdr>
        </w:div>
      </w:divsChild>
    </w:div>
    <w:div w:id="19836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8786-B149-4B1F-BE98-503B049F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Forster</dc:creator>
  <cp:lastModifiedBy>User</cp:lastModifiedBy>
  <cp:revision>6</cp:revision>
  <cp:lastPrinted>2014-03-18T06:20:00Z</cp:lastPrinted>
  <dcterms:created xsi:type="dcterms:W3CDTF">2014-03-18T05:46:00Z</dcterms:created>
  <dcterms:modified xsi:type="dcterms:W3CDTF">2014-03-18T06:26:00Z</dcterms:modified>
</cp:coreProperties>
</file>