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0B9A1" w14:textId="77777777" w:rsidR="00AC72CB" w:rsidRPr="00A73BBD" w:rsidRDefault="00AC72CB" w:rsidP="00AC72CB">
      <w:pPr>
        <w:rPr>
          <w:rFonts w:ascii="Cambria" w:eastAsia="MS Mincho" w:hAnsi="Cambria"/>
          <w:b/>
          <w:sz w:val="24"/>
          <w:szCs w:val="24"/>
          <w:lang w:eastAsia="ja-JP"/>
        </w:rPr>
      </w:pPr>
      <w:r w:rsidRPr="00A73BBD">
        <w:rPr>
          <w:rFonts w:ascii="Cambria" w:eastAsia="MS Mincho" w:hAnsi="Cambria"/>
          <w:b/>
          <w:sz w:val="24"/>
          <w:szCs w:val="24"/>
          <w:lang w:eastAsia="ja-JP"/>
        </w:rPr>
        <w:t>MATTERS ARISING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330"/>
        <w:gridCol w:w="1980"/>
        <w:gridCol w:w="3228"/>
      </w:tblGrid>
      <w:tr w:rsidR="00AC72CB" w:rsidRPr="0034634B" w14:paraId="7049124A" w14:textId="77777777" w:rsidTr="006E5221">
        <w:tc>
          <w:tcPr>
            <w:tcW w:w="1008" w:type="dxa"/>
            <w:shd w:val="clear" w:color="auto" w:fill="D9D9D9"/>
          </w:tcPr>
          <w:p w14:paraId="5AFE1626" w14:textId="77777777" w:rsidR="00AC72CB" w:rsidRPr="00B14322" w:rsidRDefault="00AC72CB" w:rsidP="006E52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S/NO.</w:t>
            </w:r>
          </w:p>
        </w:tc>
        <w:tc>
          <w:tcPr>
            <w:tcW w:w="3330" w:type="dxa"/>
            <w:shd w:val="clear" w:color="auto" w:fill="D9D9D9"/>
          </w:tcPr>
          <w:p w14:paraId="60A4A6A4" w14:textId="77777777" w:rsidR="00AC72CB" w:rsidRPr="00B14322" w:rsidRDefault="00AC72CB" w:rsidP="006E52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MATTER ARISING</w:t>
            </w:r>
          </w:p>
        </w:tc>
        <w:tc>
          <w:tcPr>
            <w:tcW w:w="1980" w:type="dxa"/>
            <w:shd w:val="clear" w:color="auto" w:fill="D9D9D9"/>
          </w:tcPr>
          <w:p w14:paraId="2799BE91" w14:textId="77777777" w:rsidR="00AC72CB" w:rsidRPr="00B14322" w:rsidRDefault="00AC72CB" w:rsidP="006E52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RESPONSIBLE ENTITY</w:t>
            </w:r>
          </w:p>
        </w:tc>
        <w:tc>
          <w:tcPr>
            <w:tcW w:w="3228" w:type="dxa"/>
            <w:shd w:val="clear" w:color="auto" w:fill="D9D9D9"/>
          </w:tcPr>
          <w:p w14:paraId="5030841C" w14:textId="77777777" w:rsidR="00AC72CB" w:rsidRPr="00B14322" w:rsidRDefault="00AC72CB" w:rsidP="006E52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ACTION TAKEN</w:t>
            </w:r>
          </w:p>
        </w:tc>
      </w:tr>
      <w:tr w:rsidR="00AC72CB" w:rsidRPr="0034634B" w14:paraId="3A0D915C" w14:textId="77777777" w:rsidTr="006E5221">
        <w:trPr>
          <w:trHeight w:val="1403"/>
        </w:trPr>
        <w:tc>
          <w:tcPr>
            <w:tcW w:w="1008" w:type="dxa"/>
          </w:tcPr>
          <w:p w14:paraId="3E4FA535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14:paraId="1081B3B4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Sanitation Regulations</w:t>
            </w:r>
            <w:r w:rsidRPr="00010F87">
              <w:rPr>
                <w:rFonts w:ascii="Cambria" w:hAnsi="Cambria"/>
                <w:sz w:val="24"/>
                <w:szCs w:val="24"/>
              </w:rPr>
              <w:t>: Due to delay of approval of sanitation regulation, Urban Department see the need and make follow up to HLU to speed up the process of approval.</w:t>
            </w:r>
          </w:p>
        </w:tc>
        <w:tc>
          <w:tcPr>
            <w:tcW w:w="1980" w:type="dxa"/>
          </w:tcPr>
          <w:p w14:paraId="5AD7C4E0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ADSDM/HLU</w:t>
            </w:r>
          </w:p>
        </w:tc>
        <w:tc>
          <w:tcPr>
            <w:tcW w:w="3228" w:type="dxa"/>
          </w:tcPr>
          <w:p w14:paraId="22A89FF7" w14:textId="47B42E33" w:rsidR="00AC72CB" w:rsidRPr="005F152C" w:rsidRDefault="009431CA" w:rsidP="006E5221">
            <w:pPr>
              <w:rPr>
                <w:rFonts w:ascii="Cambria" w:hAnsi="Cambria"/>
                <w:sz w:val="24"/>
                <w:szCs w:val="24"/>
              </w:rPr>
            </w:pPr>
            <w:r w:rsidRPr="005F152C">
              <w:rPr>
                <w:rFonts w:ascii="Cambria" w:hAnsi="Cambria"/>
                <w:sz w:val="24"/>
                <w:szCs w:val="24"/>
              </w:rPr>
              <w:t>In response to concerns raised by partners, HLU is reviewing the draft Regulations to ensure it supports the</w:t>
            </w:r>
            <w:bookmarkStart w:id="0" w:name="_GoBack"/>
            <w:bookmarkEnd w:id="0"/>
            <w:r w:rsidRPr="005F152C">
              <w:rPr>
                <w:rFonts w:ascii="Cambria" w:hAnsi="Cambria"/>
                <w:sz w:val="24"/>
                <w:szCs w:val="24"/>
              </w:rPr>
              <w:t xml:space="preserve"> SDGs and also covers alternative sanitation chain solutions rather than focussing on centralised sewerage only. Revision to be completed by 30 June 2017.</w:t>
            </w:r>
          </w:p>
        </w:tc>
      </w:tr>
      <w:tr w:rsidR="00AC72CB" w:rsidRPr="0034634B" w14:paraId="772D47FD" w14:textId="77777777" w:rsidTr="006E5221">
        <w:trPr>
          <w:trHeight w:val="1538"/>
        </w:trPr>
        <w:tc>
          <w:tcPr>
            <w:tcW w:w="1008" w:type="dxa"/>
          </w:tcPr>
          <w:p w14:paraId="358E4CF7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14:paraId="2F2B71B4" w14:textId="77777777" w:rsidR="00AC72CB" w:rsidRPr="00010F87" w:rsidRDefault="00AC72CB" w:rsidP="006E5221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NRW: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C49ED">
              <w:rPr>
                <w:rFonts w:ascii="Cambria" w:hAnsi="Cambria"/>
                <w:sz w:val="24"/>
                <w:szCs w:val="24"/>
              </w:rPr>
              <w:t>ATAWAS to share report on NRW issue</w:t>
            </w:r>
            <w:r>
              <w:rPr>
                <w:rFonts w:ascii="Cambria" w:hAnsi="Cambria"/>
                <w:sz w:val="24"/>
                <w:szCs w:val="24"/>
              </w:rPr>
              <w:t xml:space="preserve"> (on commercial losses) to be discussed on May workshop</w:t>
            </w:r>
          </w:p>
        </w:tc>
        <w:tc>
          <w:tcPr>
            <w:tcW w:w="1980" w:type="dxa"/>
          </w:tcPr>
          <w:p w14:paraId="30B5D54B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DUWS/ATAWAS</w:t>
            </w:r>
          </w:p>
        </w:tc>
        <w:tc>
          <w:tcPr>
            <w:tcW w:w="3228" w:type="dxa"/>
          </w:tcPr>
          <w:p w14:paraId="4AC45BFD" w14:textId="77777777" w:rsidR="00AC72CB" w:rsidRPr="00010F87" w:rsidRDefault="00AC72CB" w:rsidP="006E5221">
            <w:pPr>
              <w:spacing w:before="0" w:after="0"/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A09C629" w14:textId="77777777" w:rsidR="00AC72CB" w:rsidRPr="00010F87" w:rsidRDefault="00AC72CB" w:rsidP="006E5221">
            <w:pPr>
              <w:spacing w:before="0" w:after="0"/>
              <w:rPr>
                <w:rFonts w:ascii="Cambria" w:hAnsi="Cambria"/>
                <w:sz w:val="24"/>
                <w:szCs w:val="24"/>
              </w:rPr>
            </w:pPr>
          </w:p>
          <w:p w14:paraId="1403F727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C72CB" w:rsidRPr="0034634B" w14:paraId="6FD38123" w14:textId="77777777" w:rsidTr="006E5221">
        <w:tc>
          <w:tcPr>
            <w:tcW w:w="1008" w:type="dxa"/>
          </w:tcPr>
          <w:p w14:paraId="1F2FB74A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14:paraId="04974776" w14:textId="77777777" w:rsidR="00AC72CB" w:rsidRDefault="00AC72CB" w:rsidP="006E5221">
            <w:pPr>
              <w:spacing w:before="0" w:after="0"/>
              <w:jc w:val="left"/>
              <w:rPr>
                <w:rFonts w:ascii="Cambria" w:hAnsi="Cambria"/>
                <w:sz w:val="24"/>
                <w:szCs w:val="24"/>
              </w:rPr>
            </w:pPr>
            <w:r w:rsidRPr="00B14322">
              <w:rPr>
                <w:rFonts w:ascii="Cambria" w:hAnsi="Cambria"/>
                <w:b/>
                <w:sz w:val="24"/>
                <w:szCs w:val="24"/>
              </w:rPr>
              <w:t>Tittle deed and source protection report by WSSA</w:t>
            </w:r>
            <w:r w:rsidRPr="00545E62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14:paraId="3A9D2879" w14:textId="77777777" w:rsidR="00AC72CB" w:rsidRPr="00B23024" w:rsidRDefault="00AC72CB" w:rsidP="006E5221">
            <w:pPr>
              <w:spacing w:before="0" w:after="0"/>
              <w:jc w:val="left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MoWI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to send the </w:t>
            </w:r>
            <w:r w:rsidRPr="00545E62">
              <w:rPr>
                <w:rFonts w:ascii="Cambria" w:hAnsi="Cambria"/>
                <w:sz w:val="24"/>
                <w:szCs w:val="24"/>
              </w:rPr>
              <w:t xml:space="preserve">reminding information </w:t>
            </w:r>
            <w:r>
              <w:rPr>
                <w:rFonts w:ascii="Cambria" w:hAnsi="Cambria"/>
                <w:sz w:val="24"/>
                <w:szCs w:val="24"/>
              </w:rPr>
              <w:t>to the</w:t>
            </w:r>
            <w:r w:rsidRPr="00545E62">
              <w:rPr>
                <w:rFonts w:ascii="Cambria" w:hAnsi="Cambria"/>
                <w:sz w:val="24"/>
                <w:szCs w:val="24"/>
              </w:rPr>
              <w:t xml:space="preserve"> authorities that have failed to submit</w:t>
            </w:r>
            <w:r>
              <w:rPr>
                <w:rFonts w:ascii="Cambria" w:hAnsi="Cambria"/>
                <w:sz w:val="24"/>
                <w:szCs w:val="24"/>
              </w:rPr>
              <w:t xml:space="preserve"> the information</w:t>
            </w:r>
            <w:r w:rsidRPr="00545E62">
              <w:rPr>
                <w:rFonts w:ascii="Cambria" w:hAnsi="Cambria"/>
                <w:sz w:val="24"/>
                <w:szCs w:val="24"/>
              </w:rPr>
              <w:t>.</w:t>
            </w:r>
            <w:r w:rsidRPr="00010F8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A26830C" w14:textId="77777777" w:rsidR="00AC72CB" w:rsidRPr="00010F87" w:rsidRDefault="00AC72CB" w:rsidP="006E5221">
            <w:pPr>
              <w:rPr>
                <w:rFonts w:ascii="Cambria" w:hAnsi="Cambria"/>
                <w:sz w:val="24"/>
                <w:szCs w:val="24"/>
              </w:rPr>
            </w:pPr>
            <w:r w:rsidRPr="00010F87">
              <w:rPr>
                <w:rFonts w:ascii="Cambria" w:hAnsi="Cambria"/>
                <w:sz w:val="24"/>
                <w:szCs w:val="24"/>
              </w:rPr>
              <w:t>DUWS</w:t>
            </w:r>
          </w:p>
        </w:tc>
        <w:tc>
          <w:tcPr>
            <w:tcW w:w="3228" w:type="dxa"/>
          </w:tcPr>
          <w:p w14:paraId="727E3C12" w14:textId="73D03250" w:rsidR="00AC72CB" w:rsidRPr="00010F87" w:rsidRDefault="00386ADB" w:rsidP="006E522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Reminding information resend to authorities</w:t>
            </w:r>
          </w:p>
        </w:tc>
      </w:tr>
      <w:tr w:rsidR="00AC72CB" w:rsidRPr="0034634B" w14:paraId="60CCC7E3" w14:textId="77777777" w:rsidTr="006E5221">
        <w:tc>
          <w:tcPr>
            <w:tcW w:w="1008" w:type="dxa"/>
          </w:tcPr>
          <w:p w14:paraId="200E0CA2" w14:textId="77777777" w:rsidR="00AC72CB" w:rsidRPr="00F2045C" w:rsidRDefault="00AC72CB" w:rsidP="006E5221">
            <w:pPr>
              <w:rPr>
                <w:rFonts w:ascii="Cambria" w:eastAsia="MS Mincho" w:hAnsi="Cambria"/>
                <w:sz w:val="24"/>
                <w:szCs w:val="24"/>
                <w:lang w:eastAsia="ja-JP"/>
              </w:rPr>
            </w:pPr>
            <w:r w:rsidRPr="00F2045C">
              <w:rPr>
                <w:rFonts w:ascii="Cambria" w:eastAsia="MS Mincho" w:hAnsi="Cambria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30" w:type="dxa"/>
          </w:tcPr>
          <w:p w14:paraId="56077280" w14:textId="77777777" w:rsidR="00AC72CB" w:rsidRPr="00B23024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B23024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NRW: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2302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B2302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to</w:t>
            </w:r>
            <w:r w:rsidRPr="00B2302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re-issue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2302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instructions to all WSSAs to analysing causes of NRW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and set the remedies.</w:t>
            </w:r>
          </w:p>
          <w:p w14:paraId="76C0758F" w14:textId="77777777" w:rsidR="00AC72CB" w:rsidRPr="00545E62" w:rsidRDefault="00AC72CB" w:rsidP="006E5221">
            <w:pPr>
              <w:spacing w:before="0" w:after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6ADFB7" w14:textId="77777777" w:rsidR="00AC72CB" w:rsidRPr="0034634B" w:rsidRDefault="00AC72CB" w:rsidP="006E5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DUWS</w:t>
            </w:r>
          </w:p>
        </w:tc>
        <w:tc>
          <w:tcPr>
            <w:tcW w:w="3228" w:type="dxa"/>
          </w:tcPr>
          <w:p w14:paraId="2F15578F" w14:textId="77777777" w:rsidR="00AC72CB" w:rsidRPr="0034634B" w:rsidRDefault="00AC72CB" w:rsidP="006E5221">
            <w:pPr>
              <w:rPr>
                <w:rFonts w:ascii="Cambria" w:hAnsi="Cambria"/>
              </w:rPr>
            </w:pPr>
          </w:p>
        </w:tc>
      </w:tr>
    </w:tbl>
    <w:p w14:paraId="1C1940BB" w14:textId="77777777" w:rsidR="006E5221" w:rsidRDefault="006E5221" w:rsidP="00AC72CB">
      <w:pPr>
        <w:sectPr w:rsidR="006E5221" w:rsidSect="006E5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D500C1" w14:textId="77777777" w:rsidR="00AC72CB" w:rsidRPr="003C54CB" w:rsidRDefault="00AC72CB" w:rsidP="00AC72CB">
      <w:pPr>
        <w:rPr>
          <w:rFonts w:ascii="Cambria" w:eastAsia="MS Mincho" w:hAnsi="Cambria"/>
          <w:sz w:val="24"/>
          <w:szCs w:val="24"/>
          <w:lang w:eastAsia="ja-JP"/>
        </w:rPr>
        <w:sectPr w:rsidR="00AC72CB" w:rsidRPr="003C54CB" w:rsidSect="006E522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8AB624" w14:textId="77777777" w:rsidR="00AC72CB" w:rsidRPr="0034634B" w:rsidRDefault="00AC72CB" w:rsidP="00AC72CB">
      <w:pPr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lastRenderedPageBreak/>
        <w:t>3.</w:t>
      </w:r>
      <w:r w:rsidRPr="0034634B">
        <w:rPr>
          <w:rFonts w:ascii="Cambria" w:eastAsia="Times New Roman" w:hAnsi="Cambria"/>
          <w:b/>
          <w:sz w:val="24"/>
          <w:szCs w:val="24"/>
        </w:rPr>
        <w:t>AGREED ACTIONS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66"/>
        <w:gridCol w:w="1800"/>
        <w:gridCol w:w="1800"/>
        <w:gridCol w:w="2970"/>
      </w:tblGrid>
      <w:tr w:rsidR="00AC72CB" w:rsidRPr="0034634B" w14:paraId="27811F51" w14:textId="77777777" w:rsidTr="008C0B8A">
        <w:trPr>
          <w:trHeight w:val="755"/>
          <w:tblHeader/>
        </w:trPr>
        <w:tc>
          <w:tcPr>
            <w:tcW w:w="562" w:type="dxa"/>
            <w:shd w:val="clear" w:color="auto" w:fill="D9D9D9"/>
          </w:tcPr>
          <w:p w14:paraId="597A6E99" w14:textId="77777777" w:rsidR="00AC72CB" w:rsidRPr="0034634B" w:rsidRDefault="00AC72CB" w:rsidP="006E5221">
            <w:pPr>
              <w:spacing w:after="0"/>
              <w:jc w:val="left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SN</w:t>
            </w:r>
          </w:p>
        </w:tc>
        <w:tc>
          <w:tcPr>
            <w:tcW w:w="2966" w:type="dxa"/>
            <w:shd w:val="clear" w:color="auto" w:fill="D9D9D9"/>
          </w:tcPr>
          <w:p w14:paraId="48F1D699" w14:textId="77777777" w:rsidR="00AC72CB" w:rsidRPr="0034634B" w:rsidRDefault="00AC72CB" w:rsidP="006E5221">
            <w:pPr>
              <w:spacing w:after="0"/>
              <w:jc w:val="left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Agreed Action</w:t>
            </w:r>
          </w:p>
        </w:tc>
        <w:tc>
          <w:tcPr>
            <w:tcW w:w="1800" w:type="dxa"/>
            <w:shd w:val="clear" w:color="auto" w:fill="D9D9D9"/>
          </w:tcPr>
          <w:p w14:paraId="00C27E75" w14:textId="77777777" w:rsidR="00AC72CB" w:rsidRPr="0034634B" w:rsidRDefault="00AC72CB" w:rsidP="006E5221">
            <w:pPr>
              <w:spacing w:after="0"/>
              <w:jc w:val="left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Completion Date</w:t>
            </w:r>
          </w:p>
        </w:tc>
        <w:tc>
          <w:tcPr>
            <w:tcW w:w="1800" w:type="dxa"/>
            <w:shd w:val="clear" w:color="auto" w:fill="D9D9D9"/>
          </w:tcPr>
          <w:p w14:paraId="4079FDEF" w14:textId="77777777" w:rsidR="00AC72CB" w:rsidRPr="0034634B" w:rsidRDefault="00AC72CB" w:rsidP="006E5221">
            <w:pPr>
              <w:spacing w:after="0"/>
              <w:jc w:val="left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Responsible Body</w:t>
            </w:r>
          </w:p>
        </w:tc>
        <w:tc>
          <w:tcPr>
            <w:tcW w:w="2970" w:type="dxa"/>
            <w:shd w:val="clear" w:color="auto" w:fill="D9D9D9"/>
          </w:tcPr>
          <w:p w14:paraId="230F92D8" w14:textId="77777777" w:rsidR="00AC72CB" w:rsidRPr="0034634B" w:rsidRDefault="00AC72CB" w:rsidP="006E5221">
            <w:pPr>
              <w:spacing w:after="0"/>
              <w:jc w:val="left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Status</w:t>
            </w:r>
          </w:p>
        </w:tc>
      </w:tr>
      <w:tr w:rsidR="00AC72CB" w:rsidRPr="0034634B" w14:paraId="6D8329D4" w14:textId="77777777" w:rsidTr="008C0B8A">
        <w:trPr>
          <w:trHeight w:val="755"/>
          <w:tblHeader/>
        </w:trPr>
        <w:tc>
          <w:tcPr>
            <w:tcW w:w="562" w:type="dxa"/>
            <w:shd w:val="clear" w:color="auto" w:fill="auto"/>
          </w:tcPr>
          <w:p w14:paraId="1F9B3EC5" w14:textId="77777777" w:rsidR="00AC72CB" w:rsidRPr="0034634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14:paraId="21C3C4F7" w14:textId="77777777" w:rsidR="00AC72CB" w:rsidRPr="0034634B" w:rsidRDefault="00AC72CB" w:rsidP="006E5221">
            <w:pPr>
              <w:pStyle w:val="ListParagraph"/>
              <w:spacing w:after="0"/>
              <w:ind w:left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Sanitation Regulations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: </w:t>
            </w: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MoWI’s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Water-supply-related Sanitation Regulations, of which the draft is currently going through the approval process, should be adopted.</w:t>
            </w:r>
          </w:p>
        </w:tc>
        <w:tc>
          <w:tcPr>
            <w:tcW w:w="1800" w:type="dxa"/>
            <w:shd w:val="clear" w:color="auto" w:fill="auto"/>
          </w:tcPr>
          <w:p w14:paraId="6E67F073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31 January 2017</w:t>
            </w:r>
          </w:p>
        </w:tc>
        <w:tc>
          <w:tcPr>
            <w:tcW w:w="1800" w:type="dxa"/>
            <w:shd w:val="clear" w:color="auto" w:fill="auto"/>
          </w:tcPr>
          <w:p w14:paraId="248058E0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DUWS</w:t>
            </w:r>
          </w:p>
        </w:tc>
        <w:tc>
          <w:tcPr>
            <w:tcW w:w="2970" w:type="dxa"/>
          </w:tcPr>
          <w:p w14:paraId="6ADE4ED5" w14:textId="167F29B7" w:rsidR="00AC72CB" w:rsidRPr="0034634B" w:rsidRDefault="005C1E8F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DA3254">
              <w:rPr>
                <w:rFonts w:ascii="Cambria" w:eastAsia="MS Mincho" w:hAnsi="Cambria"/>
                <w:color w:val="0070C0"/>
                <w:sz w:val="24"/>
                <w:szCs w:val="24"/>
                <w:lang w:eastAsia="ja-JP"/>
              </w:rPr>
              <w:t xml:space="preserve">Being reviewed by HLU and DUWS to reflect SDGs and to include non-centralised sewerage. Revisions </w:t>
            </w:r>
            <w:r>
              <w:rPr>
                <w:rFonts w:ascii="Cambria" w:eastAsia="MS Mincho" w:hAnsi="Cambria"/>
                <w:color w:val="0070C0"/>
                <w:sz w:val="24"/>
                <w:szCs w:val="24"/>
                <w:lang w:eastAsia="ja-JP"/>
              </w:rPr>
              <w:t xml:space="preserve">to </w:t>
            </w:r>
            <w:r w:rsidRPr="00DA3254">
              <w:rPr>
                <w:rFonts w:ascii="Cambria" w:eastAsia="MS Mincho" w:hAnsi="Cambria"/>
                <w:color w:val="0070C0"/>
                <w:sz w:val="24"/>
                <w:szCs w:val="24"/>
                <w:lang w:eastAsia="ja-JP"/>
              </w:rPr>
              <w:t>be completed 30 June 2017</w:t>
            </w:r>
          </w:p>
        </w:tc>
      </w:tr>
      <w:tr w:rsidR="00AC72CB" w:rsidRPr="0034634B" w14:paraId="03846451" w14:textId="77777777" w:rsidTr="008C0B8A">
        <w:trPr>
          <w:trHeight w:val="755"/>
          <w:tblHeader/>
        </w:trPr>
        <w:tc>
          <w:tcPr>
            <w:tcW w:w="562" w:type="dxa"/>
            <w:shd w:val="clear" w:color="auto" w:fill="auto"/>
          </w:tcPr>
          <w:p w14:paraId="5BE88BF2" w14:textId="77777777" w:rsidR="00AC72CB" w:rsidRPr="0034634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66" w:type="dxa"/>
            <w:shd w:val="clear" w:color="auto" w:fill="auto"/>
          </w:tcPr>
          <w:p w14:paraId="034DAC58" w14:textId="77777777" w:rsidR="00AC72CB" w:rsidRPr="0034634B" w:rsidRDefault="00AC72CB" w:rsidP="006E5221">
            <w:pPr>
              <w:pStyle w:val="ListParagraph"/>
              <w:spacing w:after="0"/>
              <w:ind w:left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Urban Sanitation: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Introduce to WSSAs the </w:t>
            </w: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master planning of town-level sanitation services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directly coupled to water supply planning (safe removal, conveyance, disposal of faecal sludge). A number of (pilot) draft plans must be produced.</w:t>
            </w:r>
          </w:p>
        </w:tc>
        <w:tc>
          <w:tcPr>
            <w:tcW w:w="1800" w:type="dxa"/>
            <w:shd w:val="clear" w:color="auto" w:fill="auto"/>
          </w:tcPr>
          <w:p w14:paraId="55D94EE2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30th June 2017</w:t>
            </w:r>
          </w:p>
        </w:tc>
        <w:tc>
          <w:tcPr>
            <w:tcW w:w="1800" w:type="dxa"/>
            <w:shd w:val="clear" w:color="auto" w:fill="auto"/>
          </w:tcPr>
          <w:p w14:paraId="0CB426AC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DUWS/ EWURA</w:t>
            </w:r>
          </w:p>
        </w:tc>
        <w:tc>
          <w:tcPr>
            <w:tcW w:w="2970" w:type="dxa"/>
          </w:tcPr>
          <w:p w14:paraId="763C548C" w14:textId="6EDF0700" w:rsidR="00AC72CB" w:rsidRPr="0034634B" w:rsidRDefault="005C1E8F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Cambria" w:eastAsia="MS Mincho" w:hAnsi="Cambria"/>
                <w:color w:val="0070C0"/>
                <w:sz w:val="24"/>
                <w:szCs w:val="24"/>
                <w:lang w:val="en-US" w:eastAsia="ja-JP"/>
              </w:rPr>
              <w:t xml:space="preserve">Development of town-level planning tool in progress by DUWS/GIZ. Draft expected ready for sharing by end-June 2017. Tool elements have been partially tested in </w:t>
            </w:r>
            <w:proofErr w:type="spellStart"/>
            <w:r>
              <w:rPr>
                <w:rFonts w:ascii="Cambria" w:eastAsia="MS Mincho" w:hAnsi="Cambria"/>
                <w:color w:val="0070C0"/>
                <w:sz w:val="24"/>
                <w:szCs w:val="24"/>
                <w:lang w:val="en-US" w:eastAsia="ja-JP"/>
              </w:rPr>
              <w:t>Morogoro</w:t>
            </w:r>
            <w:proofErr w:type="spellEnd"/>
            <w:r>
              <w:rPr>
                <w:rFonts w:ascii="Cambria" w:eastAsia="MS Mincho" w:hAnsi="Cambria"/>
                <w:color w:val="0070C0"/>
                <w:sz w:val="24"/>
                <w:szCs w:val="24"/>
                <w:lang w:val="en-US" w:eastAsia="ja-JP"/>
              </w:rPr>
              <w:t xml:space="preserve"> and </w:t>
            </w:r>
            <w:proofErr w:type="spellStart"/>
            <w:r>
              <w:rPr>
                <w:rFonts w:ascii="Cambria" w:eastAsia="MS Mincho" w:hAnsi="Cambria"/>
                <w:color w:val="0070C0"/>
                <w:sz w:val="24"/>
                <w:szCs w:val="24"/>
                <w:lang w:val="en-US" w:eastAsia="ja-JP"/>
              </w:rPr>
              <w:t>Kahama</w:t>
            </w:r>
            <w:proofErr w:type="spellEnd"/>
            <w:r>
              <w:rPr>
                <w:rFonts w:ascii="Cambria" w:eastAsia="MS Mincho" w:hAnsi="Cambria"/>
                <w:color w:val="0070C0"/>
                <w:sz w:val="24"/>
                <w:szCs w:val="24"/>
                <w:lang w:val="en-US" w:eastAsia="ja-JP"/>
              </w:rPr>
              <w:t>.</w:t>
            </w:r>
          </w:p>
        </w:tc>
      </w:tr>
      <w:tr w:rsidR="00AC72CB" w:rsidRPr="0034634B" w14:paraId="6851F004" w14:textId="77777777" w:rsidTr="008C0B8A">
        <w:trPr>
          <w:trHeight w:val="755"/>
          <w:tblHeader/>
        </w:trPr>
        <w:tc>
          <w:tcPr>
            <w:tcW w:w="562" w:type="dxa"/>
            <w:shd w:val="clear" w:color="auto" w:fill="auto"/>
          </w:tcPr>
          <w:p w14:paraId="090928CF" w14:textId="77777777" w:rsidR="00AC72CB" w:rsidRPr="0034634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66" w:type="dxa"/>
            <w:shd w:val="clear" w:color="auto" w:fill="auto"/>
          </w:tcPr>
          <w:p w14:paraId="3F6F3536" w14:textId="77777777" w:rsidR="00AC72CB" w:rsidRPr="0034634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NRW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: Adopt guidelines for mobilizing financing arrangements for </w:t>
            </w: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 xml:space="preserve">leak prevention 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following system-upgrading projects, and provide peer-learning opportunities (e.g. through ATAWAS) for </w:t>
            </w: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reducing commercial losses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, including performance based incentive schemes.</w:t>
            </w:r>
          </w:p>
        </w:tc>
        <w:tc>
          <w:tcPr>
            <w:tcW w:w="1800" w:type="dxa"/>
            <w:shd w:val="clear" w:color="auto" w:fill="auto"/>
          </w:tcPr>
          <w:p w14:paraId="2859324F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30th June 2017</w:t>
            </w:r>
          </w:p>
        </w:tc>
        <w:tc>
          <w:tcPr>
            <w:tcW w:w="1800" w:type="dxa"/>
            <w:shd w:val="clear" w:color="auto" w:fill="auto"/>
          </w:tcPr>
          <w:p w14:paraId="00EBC470" w14:textId="77777777" w:rsidR="00AC72CB" w:rsidRPr="0034634B" w:rsidRDefault="00AC72CB" w:rsidP="006E5221">
            <w:pPr>
              <w:spacing w:after="0"/>
              <w:jc w:val="center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DUWS</w:t>
            </w:r>
          </w:p>
        </w:tc>
        <w:tc>
          <w:tcPr>
            <w:tcW w:w="2970" w:type="dxa"/>
          </w:tcPr>
          <w:p w14:paraId="6FDBB7F4" w14:textId="77777777" w:rsidR="00AC72CB" w:rsidRPr="005D11F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In progress. </w:t>
            </w:r>
          </w:p>
          <w:p w14:paraId="5B2CFF7B" w14:textId="77777777" w:rsidR="00AC72CB" w:rsidRPr="0034634B" w:rsidRDefault="00AC72CB" w:rsidP="006E5221">
            <w:pPr>
              <w:spacing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ATAWAS has already help organise peer-learning exchanges between utilities on NRW issues.</w:t>
            </w:r>
          </w:p>
        </w:tc>
      </w:tr>
    </w:tbl>
    <w:p w14:paraId="2A71BD98" w14:textId="77777777" w:rsidR="00AC72CB" w:rsidRPr="0034634B" w:rsidRDefault="00AC72CB" w:rsidP="00AC72CB">
      <w:pPr>
        <w:autoSpaceDE w:val="0"/>
        <w:autoSpaceDN w:val="0"/>
        <w:adjustRightInd w:val="0"/>
        <w:rPr>
          <w:rFonts w:ascii="Cambria" w:eastAsia="MS Mincho" w:hAnsi="Cambria"/>
          <w:sz w:val="24"/>
          <w:szCs w:val="24"/>
        </w:rPr>
        <w:sectPr w:rsidR="00AC72CB" w:rsidRPr="0034634B" w:rsidSect="006E5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833886" w14:textId="77777777" w:rsidR="00AC72CB" w:rsidRPr="0034634B" w:rsidRDefault="00AC72CB" w:rsidP="00AC72CB">
      <w:pPr>
        <w:pStyle w:val="Heading3"/>
        <w:numPr>
          <w:ilvl w:val="0"/>
          <w:numId w:val="0"/>
        </w:numPr>
        <w:spacing w:before="0" w:after="0"/>
        <w:rPr>
          <w:rFonts w:eastAsia="MS Mincho"/>
          <w:bCs w:val="0"/>
          <w:snapToGrid w:val="0"/>
          <w:color w:val="000000"/>
          <w:szCs w:val="24"/>
          <w:lang w:val="en-GB" w:eastAsia="ja-JP"/>
        </w:rPr>
      </w:pPr>
      <w:r>
        <w:rPr>
          <w:rFonts w:eastAsia="MS Mincho"/>
          <w:bCs w:val="0"/>
          <w:snapToGrid w:val="0"/>
          <w:color w:val="000000"/>
          <w:szCs w:val="24"/>
          <w:lang w:val="en-GB" w:eastAsia="ja-JP"/>
        </w:rPr>
        <w:lastRenderedPageBreak/>
        <w:t xml:space="preserve"> </w:t>
      </w:r>
      <w:r w:rsidRPr="0034634B">
        <w:rPr>
          <w:rFonts w:eastAsia="MS Mincho"/>
          <w:bCs w:val="0"/>
          <w:snapToGrid w:val="0"/>
          <w:color w:val="000000"/>
          <w:szCs w:val="24"/>
          <w:lang w:val="en-GB" w:eastAsia="ja-JP"/>
        </w:rPr>
        <w:t>11</w:t>
      </w:r>
      <w:r w:rsidRPr="0034634B">
        <w:rPr>
          <w:rFonts w:eastAsia="MS Mincho"/>
          <w:bCs w:val="0"/>
          <w:snapToGrid w:val="0"/>
          <w:color w:val="000000"/>
          <w:szCs w:val="24"/>
          <w:vertAlign w:val="superscript"/>
          <w:lang w:val="en-GB" w:eastAsia="ja-JP"/>
        </w:rPr>
        <w:t>th</w:t>
      </w:r>
      <w:r w:rsidRPr="0034634B">
        <w:rPr>
          <w:rFonts w:eastAsia="MS Mincho"/>
          <w:bCs w:val="0"/>
          <w:snapToGrid w:val="0"/>
          <w:color w:val="000000"/>
          <w:szCs w:val="24"/>
          <w:lang w:val="en-GB" w:eastAsia="ja-JP"/>
        </w:rPr>
        <w:t xml:space="preserve"> JWSR UNDERTAKINGS</w:t>
      </w: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62"/>
        <w:gridCol w:w="1575"/>
        <w:gridCol w:w="1486"/>
        <w:gridCol w:w="3147"/>
      </w:tblGrid>
      <w:tr w:rsidR="00AC72CB" w:rsidRPr="0034634B" w14:paraId="42BBD1A2" w14:textId="77777777" w:rsidTr="008C0B8A">
        <w:tc>
          <w:tcPr>
            <w:tcW w:w="300" w:type="pct"/>
            <w:shd w:val="clear" w:color="auto" w:fill="D9D9D9"/>
          </w:tcPr>
          <w:p w14:paraId="0D1C5163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No.</w:t>
            </w:r>
          </w:p>
        </w:tc>
        <w:tc>
          <w:tcPr>
            <w:tcW w:w="1483" w:type="pct"/>
            <w:shd w:val="clear" w:color="auto" w:fill="D9D9D9"/>
          </w:tcPr>
          <w:p w14:paraId="126AFB3D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Undertaking</w:t>
            </w:r>
          </w:p>
        </w:tc>
        <w:tc>
          <w:tcPr>
            <w:tcW w:w="816" w:type="pct"/>
            <w:shd w:val="clear" w:color="auto" w:fill="D9D9D9"/>
          </w:tcPr>
          <w:p w14:paraId="2D351672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Responsible</w:t>
            </w:r>
          </w:p>
        </w:tc>
        <w:tc>
          <w:tcPr>
            <w:tcW w:w="770" w:type="pct"/>
            <w:shd w:val="clear" w:color="auto" w:fill="D9D9D9"/>
          </w:tcPr>
          <w:p w14:paraId="68AAF199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Timeframe</w:t>
            </w:r>
          </w:p>
        </w:tc>
        <w:tc>
          <w:tcPr>
            <w:tcW w:w="1632" w:type="pct"/>
            <w:shd w:val="clear" w:color="auto" w:fill="D9D9D9"/>
          </w:tcPr>
          <w:p w14:paraId="010360CA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</w:p>
          <w:p w14:paraId="79A4CF90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</w:p>
        </w:tc>
      </w:tr>
      <w:tr w:rsidR="00AC72CB" w:rsidRPr="0034634B" w14:paraId="4EF55FD7" w14:textId="77777777" w:rsidTr="008C0B8A">
        <w:tc>
          <w:tcPr>
            <w:tcW w:w="300" w:type="pct"/>
          </w:tcPr>
          <w:p w14:paraId="3A65FEB5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1483" w:type="pct"/>
          </w:tcPr>
          <w:p w14:paraId="75E92AD6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WATER BOARDS:</w:t>
            </w:r>
          </w:p>
          <w:p w14:paraId="0D1D3FB8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Guidelines to be adopted and disseminated; No WSSAs without approved Board.</w:t>
            </w:r>
          </w:p>
        </w:tc>
        <w:tc>
          <w:tcPr>
            <w:tcW w:w="816" w:type="pct"/>
          </w:tcPr>
          <w:p w14:paraId="36221F94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-DUWS/PO-RALG</w:t>
            </w:r>
          </w:p>
        </w:tc>
        <w:tc>
          <w:tcPr>
            <w:tcW w:w="770" w:type="pct"/>
          </w:tcPr>
          <w:p w14:paraId="56225146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Next JWSR</w:t>
            </w:r>
          </w:p>
        </w:tc>
        <w:tc>
          <w:tcPr>
            <w:tcW w:w="1632" w:type="pct"/>
          </w:tcPr>
          <w:p w14:paraId="7D94C278" w14:textId="5169DFBD" w:rsidR="00AC72CB" w:rsidRPr="0034634B" w:rsidRDefault="00AC72CB" w:rsidP="005C1E8F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74510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Guidelines </w:t>
            </w:r>
            <w:r w:rsidR="005C1E8F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prepared by</w:t>
            </w:r>
            <w:r w:rsidR="005C1E8F" w:rsidRPr="0074510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PO-RALG</w:t>
            </w:r>
            <w:r w:rsidR="005C1E8F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and</w:t>
            </w:r>
            <w:r w:rsidR="005C1E8F" w:rsidRPr="0074510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745104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disseminated </w:t>
            </w:r>
            <w:r w:rsidR="00AC128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to all Districts Utilities.</w:t>
            </w:r>
          </w:p>
        </w:tc>
      </w:tr>
      <w:tr w:rsidR="00AC72CB" w:rsidRPr="0034634B" w14:paraId="06DC2FC6" w14:textId="77777777" w:rsidTr="008C0B8A">
        <w:tc>
          <w:tcPr>
            <w:tcW w:w="300" w:type="pct"/>
          </w:tcPr>
          <w:p w14:paraId="366AAAD3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1483" w:type="pct"/>
          </w:tcPr>
          <w:p w14:paraId="352833D3" w14:textId="77777777" w:rsidR="00AC72CB" w:rsidRPr="0034634B" w:rsidRDefault="00AC72CB" w:rsidP="008C0B8A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 xml:space="preserve">TITLE DEEDS AND SOURCE PROTECTION: </w:t>
            </w:r>
          </w:p>
          <w:p w14:paraId="6258F0F4" w14:textId="77777777" w:rsidR="00AC72CB" w:rsidRPr="0034634B" w:rsidRDefault="00AC72CB" w:rsidP="008C0B8A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  </w:t>
            </w:r>
          </w:p>
          <w:p w14:paraId="0920AF8A" w14:textId="77777777" w:rsidR="00AC72CB" w:rsidRPr="0034634B" w:rsidRDefault="00AC72CB" w:rsidP="008C0B8A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shall re-issue an instruction letter to the WSSAs that haven’t provided the requested information yet, to report:</w:t>
            </w:r>
          </w:p>
          <w:p w14:paraId="45FAEE04" w14:textId="77777777" w:rsidR="00AC72CB" w:rsidRPr="0034634B" w:rsidRDefault="00AC72CB" w:rsidP="008C0B8A">
            <w:pPr>
              <w:numPr>
                <w:ilvl w:val="0"/>
                <w:numId w:val="2"/>
              </w:num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Status of their protected source areas.</w:t>
            </w:r>
          </w:p>
          <w:p w14:paraId="4689E1B9" w14:textId="77777777" w:rsidR="00AC72CB" w:rsidRPr="0034634B" w:rsidRDefault="00AC72CB" w:rsidP="008C0B8A">
            <w:pPr>
              <w:numPr>
                <w:ilvl w:val="0"/>
                <w:numId w:val="2"/>
              </w:num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Status of their assets demarcation, title deed. (Application process) and assets valuation. </w:t>
            </w:r>
          </w:p>
        </w:tc>
        <w:tc>
          <w:tcPr>
            <w:tcW w:w="816" w:type="pct"/>
          </w:tcPr>
          <w:p w14:paraId="32A560FB" w14:textId="77777777" w:rsidR="00AC72CB" w:rsidRPr="0034634B" w:rsidRDefault="00AC72CB" w:rsidP="008C0B8A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-DUWS</w:t>
            </w:r>
          </w:p>
        </w:tc>
        <w:tc>
          <w:tcPr>
            <w:tcW w:w="770" w:type="pct"/>
          </w:tcPr>
          <w:p w14:paraId="0D8650CF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Next JWSR</w:t>
            </w:r>
          </w:p>
        </w:tc>
        <w:tc>
          <w:tcPr>
            <w:tcW w:w="1632" w:type="pct"/>
          </w:tcPr>
          <w:p w14:paraId="74D6BD95" w14:textId="77777777" w:rsidR="00AC72CB" w:rsidRPr="0017178D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The WSSAs</w:t>
            </w:r>
            <w:r w:rsidRPr="00156EB8">
              <w:rPr>
                <w:rFonts w:eastAsia="MS Mincho"/>
                <w:color w:val="FF0000"/>
                <w:sz w:val="24"/>
                <w:szCs w:val="24"/>
                <w:lang w:eastAsia="ja-JP"/>
              </w:rPr>
              <w:t xml:space="preserve"> 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has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re-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instructe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d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to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provide the status of the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title deeds and source protection:</w:t>
            </w:r>
          </w:p>
          <w:p w14:paraId="6D33F9A8" w14:textId="77777777" w:rsidR="00AC72C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  <w:p w14:paraId="7DFD9E09" w14:textId="77777777" w:rsidR="00AC72C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  <w:p w14:paraId="05A4B0CA" w14:textId="77777777" w:rsidR="001C4F91" w:rsidRPr="0017178D" w:rsidRDefault="001C4F91" w:rsidP="001C4F9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The WSSAs</w:t>
            </w:r>
            <w:r w:rsidRPr="00156EB8">
              <w:rPr>
                <w:rFonts w:eastAsia="MS Mincho"/>
                <w:color w:val="FF0000"/>
                <w:sz w:val="24"/>
                <w:szCs w:val="24"/>
                <w:lang w:eastAsia="ja-JP"/>
              </w:rPr>
              <w:t xml:space="preserve"> 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has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re-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instructe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d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to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provide the status of the</w:t>
            </w:r>
            <w:r w:rsidRPr="0017178D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title deeds and source protection:</w:t>
            </w:r>
          </w:p>
          <w:p w14:paraId="0C8F831E" w14:textId="77777777" w:rsidR="001C4F91" w:rsidRDefault="001C4F91" w:rsidP="001C4F9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  <w:p w14:paraId="397053CE" w14:textId="77777777" w:rsidR="002A2732" w:rsidRDefault="008C0B8A" w:rsidP="001C4F91">
            <w:pPr>
              <w:numPr>
                <w:ilvl w:val="0"/>
                <w:numId w:val="6"/>
              </w:num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Only 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1</w:t>
            </w:r>
            <w:r w:rsidR="002A2732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2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authorities of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Mbeya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Njombe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Moshi,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Tanga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Sumbawanga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Singida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Musoma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Bukoba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Babati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Lindi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and </w:t>
            </w:r>
            <w:proofErr w:type="spellStart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Wanging</w:t>
            </w:r>
            <w:r w:rsidR="00DA3010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’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ombe</w:t>
            </w:r>
            <w:proofErr w:type="spellEnd"/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submitted the status</w:t>
            </w:r>
            <w:r w:rsidR="002A2732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.</w:t>
            </w:r>
          </w:p>
          <w:p w14:paraId="78A5BB5C" w14:textId="7DEEBAA1" w:rsidR="001C4F91" w:rsidRDefault="002A2732" w:rsidP="001C4F91">
            <w:pPr>
              <w:numPr>
                <w:ilvl w:val="0"/>
                <w:numId w:val="6"/>
              </w:num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Their 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water sources protection includes fencing</w:t>
            </w:r>
            <w:r w:rsidR="00527677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the areas around water sources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, involving communities groups around the catchments</w:t>
            </w:r>
            <w:r w:rsidR="00527677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on water sources protection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527677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putting 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warning signs </w:t>
            </w:r>
            <w:r w:rsidR="00527677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within sources boundaries </w:t>
            </w:r>
            <w:r w:rsid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etc.</w:t>
            </w:r>
          </w:p>
          <w:p w14:paraId="65C6961F" w14:textId="0124AC51" w:rsidR="00AC72CB" w:rsidRDefault="00527677" w:rsidP="001C4F91">
            <w:pPr>
              <w:numPr>
                <w:ilvl w:val="0"/>
                <w:numId w:val="6"/>
              </w:num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All authorities demarcated their assets and </w:t>
            </w:r>
            <w:r w:rsidRP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status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of acquirement of ti</w:t>
            </w:r>
            <w:r w:rsidRP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tle deeds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is</w:t>
            </w:r>
            <w:r w:rsidR="001C4F91" w:rsidRPr="001C4F9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in different stage</w:t>
            </w:r>
            <w:r w:rsidR="008C0B8A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.</w:t>
            </w:r>
          </w:p>
          <w:p w14:paraId="0911B1BC" w14:textId="1D65CF18" w:rsidR="008C0B8A" w:rsidRPr="001C4F91" w:rsidRDefault="008C0B8A" w:rsidP="008C0B8A">
            <w:pPr>
              <w:spacing w:before="0" w:after="0"/>
              <w:ind w:left="36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</w:tc>
      </w:tr>
      <w:tr w:rsidR="00AC72CB" w:rsidRPr="0034634B" w14:paraId="71C64ACA" w14:textId="77777777" w:rsidTr="008C0B8A">
        <w:tc>
          <w:tcPr>
            <w:tcW w:w="300" w:type="pct"/>
          </w:tcPr>
          <w:p w14:paraId="4821746E" w14:textId="254BDFFA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1483" w:type="pct"/>
          </w:tcPr>
          <w:p w14:paraId="467C6DF6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 xml:space="preserve">NRW: </w:t>
            </w:r>
          </w:p>
          <w:p w14:paraId="2E935394" w14:textId="77777777" w:rsidR="00AC72C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to issue new </w:t>
            </w: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lastRenderedPageBreak/>
              <w:t>instructions to those WSSAs that have not yet reached their BRN target values for NRW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.</w:t>
            </w:r>
          </w:p>
          <w:p w14:paraId="64FA2D1B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To make an analysis of the causes for their NRW and report to </w:t>
            </w: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16" w:type="pct"/>
          </w:tcPr>
          <w:p w14:paraId="6CA14491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lastRenderedPageBreak/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-DUWS</w:t>
            </w:r>
          </w:p>
        </w:tc>
        <w:tc>
          <w:tcPr>
            <w:tcW w:w="770" w:type="pct"/>
          </w:tcPr>
          <w:p w14:paraId="01D04DC4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Next JWSR</w:t>
            </w:r>
          </w:p>
        </w:tc>
        <w:tc>
          <w:tcPr>
            <w:tcW w:w="1632" w:type="pct"/>
          </w:tcPr>
          <w:p w14:paraId="11B75028" w14:textId="17259388" w:rsidR="00DA3010" w:rsidRDefault="00DA3010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has re-issued instructions to all WSSAs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to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lastRenderedPageBreak/>
              <w:t xml:space="preserve">analysing causes of </w:t>
            </w: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NRW and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set the </w:t>
            </w: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remedies</w:t>
            </w:r>
            <w:r w:rsidR="00386AD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.</w:t>
            </w: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14:paraId="24AC4AA3" w14:textId="77777777" w:rsidR="00DA3010" w:rsidRDefault="00DA3010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  <w:p w14:paraId="2F43F8A6" w14:textId="408AB771" w:rsidR="00AC72CB" w:rsidRPr="00B66661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The five authorities of </w:t>
            </w:r>
            <w:proofErr w:type="spellStart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Mpanda</w:t>
            </w:r>
            <w:proofErr w:type="spellEnd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Moshi, </w:t>
            </w:r>
            <w:proofErr w:type="spellStart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Njombe</w:t>
            </w:r>
            <w:proofErr w:type="spellEnd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Songea</w:t>
            </w:r>
            <w:proofErr w:type="spellEnd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and </w:t>
            </w:r>
            <w:proofErr w:type="spellStart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Singida</w:t>
            </w:r>
            <w:proofErr w:type="spellEnd"/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reached set BRN targets.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However, d</w:t>
            </w: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uring launching of   utilities performance Report (Feb 2017), all utilities instructed to set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the </w:t>
            </w: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strategies of reduce NRW. </w:t>
            </w:r>
          </w:p>
          <w:p w14:paraId="5DA6C4BB" w14:textId="77777777" w:rsidR="00AC72CB" w:rsidRPr="00B66661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</w:p>
          <w:p w14:paraId="61D63544" w14:textId="370C578D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B66661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:</w:t>
            </w:r>
          </w:p>
        </w:tc>
      </w:tr>
      <w:tr w:rsidR="00AC72CB" w:rsidRPr="0034634B" w14:paraId="19F8D747" w14:textId="77777777" w:rsidTr="008C0B8A">
        <w:tc>
          <w:tcPr>
            <w:tcW w:w="300" w:type="pct"/>
          </w:tcPr>
          <w:p w14:paraId="5F302676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lastRenderedPageBreak/>
              <w:t>4.</w:t>
            </w:r>
          </w:p>
        </w:tc>
        <w:tc>
          <w:tcPr>
            <w:tcW w:w="1483" w:type="pct"/>
          </w:tcPr>
          <w:p w14:paraId="5540591A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and EWURA should prepare guidelines for WSSAs on how to serve the underserved population groups.</w:t>
            </w:r>
          </w:p>
        </w:tc>
        <w:tc>
          <w:tcPr>
            <w:tcW w:w="816" w:type="pct"/>
          </w:tcPr>
          <w:p w14:paraId="20A72B4A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-DUWS/EWURA</w:t>
            </w:r>
          </w:p>
        </w:tc>
        <w:tc>
          <w:tcPr>
            <w:tcW w:w="770" w:type="pct"/>
          </w:tcPr>
          <w:p w14:paraId="48347E7D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Next JWSR</w:t>
            </w:r>
          </w:p>
        </w:tc>
        <w:tc>
          <w:tcPr>
            <w:tcW w:w="1632" w:type="pct"/>
          </w:tcPr>
          <w:p w14:paraId="20E55BA0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Guidelines, including investment priority criteria, are being developed with support from GIZ</w:t>
            </w:r>
          </w:p>
        </w:tc>
      </w:tr>
      <w:tr w:rsidR="00AC72CB" w:rsidRPr="0034634B" w14:paraId="0E8E1613" w14:textId="77777777" w:rsidTr="008C0B8A">
        <w:tc>
          <w:tcPr>
            <w:tcW w:w="300" w:type="pct"/>
          </w:tcPr>
          <w:p w14:paraId="7A678393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1483" w:type="pct"/>
          </w:tcPr>
          <w:p w14:paraId="702F94DD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b/>
                <w:color w:val="000000"/>
                <w:sz w:val="24"/>
                <w:szCs w:val="24"/>
                <w:lang w:eastAsia="ja-JP"/>
              </w:rPr>
              <w:t>URBAN SANITATION</w:t>
            </w:r>
          </w:p>
          <w:p w14:paraId="6C6EC2DE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is to complete developing its urban sanitation planning guidelines to provide guidance to the WSSAs and LGAs. </w:t>
            </w:r>
          </w:p>
        </w:tc>
        <w:tc>
          <w:tcPr>
            <w:tcW w:w="816" w:type="pct"/>
          </w:tcPr>
          <w:p w14:paraId="70369DBB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MoWI</w:t>
            </w:r>
            <w:proofErr w:type="spellEnd"/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-DUWS</w:t>
            </w:r>
          </w:p>
        </w:tc>
        <w:tc>
          <w:tcPr>
            <w:tcW w:w="770" w:type="pct"/>
          </w:tcPr>
          <w:p w14:paraId="7A4DFC1A" w14:textId="77777777" w:rsidR="00AC72CB" w:rsidRPr="0034634B" w:rsidRDefault="00AC72CB" w:rsidP="006E5221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34634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Next JWSR</w:t>
            </w:r>
          </w:p>
        </w:tc>
        <w:tc>
          <w:tcPr>
            <w:tcW w:w="1632" w:type="pct"/>
          </w:tcPr>
          <w:p w14:paraId="1CCD6450" w14:textId="757A670C" w:rsidR="00AC72CB" w:rsidRPr="0034634B" w:rsidRDefault="00AC72CB" w:rsidP="00386ADB">
            <w:pPr>
              <w:spacing w:before="0" w:after="0"/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</w:pP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A town-level sanitation planning tool and guidelines for WSSAs and LGAs, are in development by support from GIZ. (Draft tool </w:t>
            </w:r>
            <w:r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will</w:t>
            </w: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be ready for sharing by </w:t>
            </w:r>
            <w:r w:rsidR="00386AD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>end of June</w:t>
            </w:r>
            <w:r w:rsidRPr="005D11FB">
              <w:rPr>
                <w:rFonts w:ascii="Cambria" w:eastAsia="MS Mincho" w:hAnsi="Cambria"/>
                <w:color w:val="000000"/>
                <w:sz w:val="24"/>
                <w:szCs w:val="24"/>
                <w:lang w:eastAsia="ja-JP"/>
              </w:rPr>
              <w:t xml:space="preserve"> 2017.</w:t>
            </w:r>
          </w:p>
        </w:tc>
      </w:tr>
    </w:tbl>
    <w:p w14:paraId="7BF1958A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7E02C9A3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4BFE71D1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7B6145A6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5DB9F2A1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419DF81C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64441A0B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23A809F7" w14:textId="77777777" w:rsidR="00AC72CB" w:rsidRDefault="00AC72CB" w:rsidP="00AC72CB">
      <w:pPr>
        <w:rPr>
          <w:rFonts w:eastAsia="Times New Roman"/>
          <w:b/>
          <w:bCs/>
          <w:snapToGrid/>
          <w:color w:val="365F91"/>
          <w:sz w:val="28"/>
          <w:szCs w:val="28"/>
          <w:lang w:val="en-US" w:eastAsia="x-none"/>
        </w:rPr>
      </w:pPr>
    </w:p>
    <w:p w14:paraId="009306C6" w14:textId="77777777" w:rsidR="00E95DBE" w:rsidRDefault="00E95DBE" w:rsidP="00AC72CB"/>
    <w:sectPr w:rsidR="00E95DBE" w:rsidSect="00E95D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92608" w14:textId="77777777" w:rsidR="002A2732" w:rsidRDefault="002A2732">
      <w:pPr>
        <w:spacing w:before="0" w:after="0"/>
      </w:pPr>
      <w:r>
        <w:separator/>
      </w:r>
    </w:p>
  </w:endnote>
  <w:endnote w:type="continuationSeparator" w:id="0">
    <w:p w14:paraId="6C0FA206" w14:textId="77777777" w:rsidR="002A2732" w:rsidRDefault="002A2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3B07" w14:textId="77777777" w:rsidR="002A2732" w:rsidRDefault="002A27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52C">
      <w:rPr>
        <w:noProof/>
      </w:rPr>
      <w:t>2</w:t>
    </w:r>
    <w:r>
      <w:fldChar w:fldCharType="end"/>
    </w:r>
  </w:p>
  <w:p w14:paraId="5E275874" w14:textId="77777777" w:rsidR="002A2732" w:rsidRDefault="002A2732" w:rsidP="006E52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79CB1" w14:textId="77777777" w:rsidR="002A2732" w:rsidRDefault="002A2732">
      <w:pPr>
        <w:spacing w:before="0" w:after="0"/>
      </w:pPr>
      <w:r>
        <w:separator/>
      </w:r>
    </w:p>
  </w:footnote>
  <w:footnote w:type="continuationSeparator" w:id="0">
    <w:p w14:paraId="5ACCC8BA" w14:textId="77777777" w:rsidR="002A2732" w:rsidRDefault="002A27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0BF"/>
    <w:multiLevelType w:val="hybridMultilevel"/>
    <w:tmpl w:val="A5483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60A1A"/>
    <w:multiLevelType w:val="hybridMultilevel"/>
    <w:tmpl w:val="58C27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376BE2"/>
    <w:multiLevelType w:val="multilevel"/>
    <w:tmpl w:val="261A1BA2"/>
    <w:styleLink w:val="ImportedStyle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">
    <w:nsid w:val="3C486614"/>
    <w:multiLevelType w:val="multilevel"/>
    <w:tmpl w:val="DC40FE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3A20848"/>
    <w:multiLevelType w:val="multilevel"/>
    <w:tmpl w:val="CE703BFE"/>
    <w:styleLink w:val="List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5">
    <w:nsid w:val="7C9F34FB"/>
    <w:multiLevelType w:val="hybridMultilevel"/>
    <w:tmpl w:val="872C1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2EEE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A24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4236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D2E7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1C00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20404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FBAB6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DA099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CB"/>
    <w:rsid w:val="00095B5C"/>
    <w:rsid w:val="001C4F91"/>
    <w:rsid w:val="002A2732"/>
    <w:rsid w:val="00386ADB"/>
    <w:rsid w:val="00527677"/>
    <w:rsid w:val="005C1E8F"/>
    <w:rsid w:val="005F152C"/>
    <w:rsid w:val="006E5221"/>
    <w:rsid w:val="008C0B8A"/>
    <w:rsid w:val="009431CA"/>
    <w:rsid w:val="00AC128B"/>
    <w:rsid w:val="00AC72CB"/>
    <w:rsid w:val="00DA3010"/>
    <w:rsid w:val="00E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CDEF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CB"/>
    <w:pPr>
      <w:spacing w:before="120" w:after="120"/>
      <w:jc w:val="both"/>
    </w:pPr>
    <w:rPr>
      <w:rFonts w:ascii="Times New Roman" w:eastAsia="Calibri" w:hAnsi="Times New Roman" w:cs="Times New Roman"/>
      <w:snapToGrid w:val="0"/>
      <w:sz w:val="22"/>
      <w:szCs w:val="23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2CB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/>
      <w:b/>
      <w:bCs/>
      <w:snapToGrid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2CB"/>
    <w:pPr>
      <w:keepNext/>
      <w:keepLines/>
      <w:numPr>
        <w:ilvl w:val="1"/>
        <w:numId w:val="1"/>
      </w:numPr>
      <w:spacing w:before="240" w:line="276" w:lineRule="auto"/>
      <w:outlineLvl w:val="1"/>
    </w:pPr>
    <w:rPr>
      <w:rFonts w:ascii="Cambria" w:eastAsia="Times New Roman" w:hAnsi="Cambria"/>
      <w:b/>
      <w:bCs/>
      <w:snapToGrid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2C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/>
      <w:b/>
      <w:bCs/>
      <w:snapToGrid/>
      <w:color w:val="0070C0"/>
      <w:sz w:val="24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2C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/>
      <w:b/>
      <w:bCs/>
      <w:snapToGrid/>
      <w:sz w:val="28"/>
      <w:szCs w:val="28"/>
      <w:lang w:val="en-US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72CB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napToGrid/>
      <w:sz w:val="26"/>
      <w:szCs w:val="26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72CB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/>
      <w:b/>
      <w:bCs/>
      <w:snapToGrid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72CB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/>
      <w:snapToGrid/>
      <w:sz w:val="24"/>
      <w:szCs w:val="24"/>
      <w:lang w:val="en-US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72CB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/>
      <w:i/>
      <w:iCs/>
      <w:snapToGrid/>
      <w:sz w:val="24"/>
      <w:szCs w:val="24"/>
      <w:lang w:val="en-US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72CB"/>
    <w:pPr>
      <w:numPr>
        <w:ilvl w:val="8"/>
        <w:numId w:val="1"/>
      </w:numPr>
      <w:spacing w:before="240" w:after="60" w:line="276" w:lineRule="auto"/>
      <w:outlineLvl w:val="8"/>
    </w:pPr>
    <w:rPr>
      <w:rFonts w:ascii="Calibri Light" w:eastAsia="Times New Roman" w:hAnsi="Calibri Light"/>
      <w:snapToGrid/>
      <w:szCs w:val="22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2C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AC72C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C72CB"/>
    <w:rPr>
      <w:rFonts w:ascii="Cambria" w:eastAsia="Times New Roman" w:hAnsi="Cambria" w:cs="Times New Roman"/>
      <w:b/>
      <w:bCs/>
      <w:color w:val="0070C0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C72CB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AC72CB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AC72CB"/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AC72CB"/>
    <w:rPr>
      <w:rFonts w:ascii="Calibri" w:eastAsia="Times New Roman" w:hAnsi="Calibri" w:cs="Times New Roman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AC72CB"/>
    <w:rPr>
      <w:rFonts w:ascii="Calibri" w:eastAsia="Times New Roman" w:hAnsi="Calibri" w:cs="Times New Roman"/>
      <w:i/>
      <w:iCs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AC72CB"/>
    <w:rPr>
      <w:rFonts w:ascii="Calibri Light" w:eastAsia="Times New Roman" w:hAnsi="Calibri Light" w:cs="Times New Roman"/>
      <w:sz w:val="22"/>
      <w:szCs w:val="22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AC72CB"/>
    <w:pPr>
      <w:tabs>
        <w:tab w:val="center" w:pos="4680"/>
        <w:tab w:val="right" w:pos="9360"/>
      </w:tabs>
      <w:spacing w:before="0" w:after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72CB"/>
    <w:rPr>
      <w:rFonts w:ascii="Times New Roman" w:eastAsia="Calibri" w:hAnsi="Times New Roman" w:cs="Times New Roman"/>
      <w:snapToGrid w:val="0"/>
      <w:lang w:val="en-GB" w:eastAsia="en-GB"/>
    </w:rPr>
  </w:style>
  <w:style w:type="paragraph" w:styleId="ListParagraph">
    <w:name w:val="List Paragraph"/>
    <w:aliases w:val="List Paragraph (numbered (a)),List bullets,Colorful List - Accent 12,Medium Grid 1 - Accent 21,List Paragraph1,Bullets,Dot pt,F5 List Paragraph,No Spacing1,List Paragraph Char Char Char,Indicator Text,Numbered Para 1,References,Bullet 1,b"/>
    <w:basedOn w:val="Normal"/>
    <w:link w:val="ListParagraphChar"/>
    <w:uiPriority w:val="34"/>
    <w:qFormat/>
    <w:rsid w:val="00AC72CB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bullets Char,Colorful List - Accent 12 Char,Medium Grid 1 - Accent 21 Char,List Paragraph1 Char,Bullets Char,Dot pt Char,F5 List Paragraph Char,No Spacing1 Char,Indicator Text Char,b Char"/>
    <w:link w:val="ListParagraph"/>
    <w:uiPriority w:val="34"/>
    <w:qFormat/>
    <w:locked/>
    <w:rsid w:val="00AC72CB"/>
    <w:rPr>
      <w:rFonts w:ascii="Times New Roman" w:eastAsia="Calibri" w:hAnsi="Times New Roman" w:cs="Times New Roman"/>
      <w:snapToGrid w:val="0"/>
      <w:sz w:val="22"/>
      <w:szCs w:val="23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AC72CB"/>
    <w:pPr>
      <w:spacing w:before="0" w:line="276" w:lineRule="auto"/>
      <w:jc w:val="left"/>
    </w:pPr>
    <w:rPr>
      <w:rFonts w:ascii="Calibri" w:hAnsi="Calibri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C72CB"/>
    <w:rPr>
      <w:rFonts w:ascii="Calibri" w:eastAsia="Calibri" w:hAnsi="Calibri" w:cs="Times New Roman"/>
      <w:sz w:val="22"/>
      <w:szCs w:val="22"/>
    </w:rPr>
  </w:style>
  <w:style w:type="numbering" w:customStyle="1" w:styleId="ImportedStyle1">
    <w:name w:val="Imported Style 1"/>
    <w:rsid w:val="00AC72CB"/>
    <w:pPr>
      <w:numPr>
        <w:numId w:val="3"/>
      </w:numPr>
    </w:pPr>
  </w:style>
  <w:style w:type="numbering" w:customStyle="1" w:styleId="List1">
    <w:name w:val="List 1"/>
    <w:basedOn w:val="NoList"/>
    <w:rsid w:val="00AC72CB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CB"/>
    <w:pPr>
      <w:spacing w:before="120" w:after="120"/>
      <w:jc w:val="both"/>
    </w:pPr>
    <w:rPr>
      <w:rFonts w:ascii="Times New Roman" w:eastAsia="Calibri" w:hAnsi="Times New Roman" w:cs="Times New Roman"/>
      <w:snapToGrid w:val="0"/>
      <w:sz w:val="22"/>
      <w:szCs w:val="23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2CB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/>
      <w:b/>
      <w:bCs/>
      <w:snapToGrid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2CB"/>
    <w:pPr>
      <w:keepNext/>
      <w:keepLines/>
      <w:numPr>
        <w:ilvl w:val="1"/>
        <w:numId w:val="1"/>
      </w:numPr>
      <w:spacing w:before="240" w:line="276" w:lineRule="auto"/>
      <w:outlineLvl w:val="1"/>
    </w:pPr>
    <w:rPr>
      <w:rFonts w:ascii="Cambria" w:eastAsia="Times New Roman" w:hAnsi="Cambria"/>
      <w:b/>
      <w:bCs/>
      <w:snapToGrid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2C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/>
      <w:b/>
      <w:bCs/>
      <w:snapToGrid/>
      <w:color w:val="0070C0"/>
      <w:sz w:val="24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2C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/>
      <w:b/>
      <w:bCs/>
      <w:snapToGrid/>
      <w:sz w:val="28"/>
      <w:szCs w:val="28"/>
      <w:lang w:val="en-US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72CB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napToGrid/>
      <w:sz w:val="26"/>
      <w:szCs w:val="26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72CB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/>
      <w:b/>
      <w:bCs/>
      <w:snapToGrid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72CB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/>
      <w:snapToGrid/>
      <w:sz w:val="24"/>
      <w:szCs w:val="24"/>
      <w:lang w:val="en-US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72CB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/>
      <w:i/>
      <w:iCs/>
      <w:snapToGrid/>
      <w:sz w:val="24"/>
      <w:szCs w:val="24"/>
      <w:lang w:val="en-US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72CB"/>
    <w:pPr>
      <w:numPr>
        <w:ilvl w:val="8"/>
        <w:numId w:val="1"/>
      </w:numPr>
      <w:spacing w:before="240" w:after="60" w:line="276" w:lineRule="auto"/>
      <w:outlineLvl w:val="8"/>
    </w:pPr>
    <w:rPr>
      <w:rFonts w:ascii="Calibri Light" w:eastAsia="Times New Roman" w:hAnsi="Calibri Light"/>
      <w:snapToGrid/>
      <w:szCs w:val="22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2C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AC72C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C72CB"/>
    <w:rPr>
      <w:rFonts w:ascii="Cambria" w:eastAsia="Times New Roman" w:hAnsi="Cambria" w:cs="Times New Roman"/>
      <w:b/>
      <w:bCs/>
      <w:color w:val="0070C0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C72CB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AC72CB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AC72CB"/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AC72CB"/>
    <w:rPr>
      <w:rFonts w:ascii="Calibri" w:eastAsia="Times New Roman" w:hAnsi="Calibri" w:cs="Times New Roman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AC72CB"/>
    <w:rPr>
      <w:rFonts w:ascii="Calibri" w:eastAsia="Times New Roman" w:hAnsi="Calibri" w:cs="Times New Roman"/>
      <w:i/>
      <w:iCs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AC72CB"/>
    <w:rPr>
      <w:rFonts w:ascii="Calibri Light" w:eastAsia="Times New Roman" w:hAnsi="Calibri Light" w:cs="Times New Roman"/>
      <w:sz w:val="22"/>
      <w:szCs w:val="22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AC72CB"/>
    <w:pPr>
      <w:tabs>
        <w:tab w:val="center" w:pos="4680"/>
        <w:tab w:val="right" w:pos="9360"/>
      </w:tabs>
      <w:spacing w:before="0" w:after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72CB"/>
    <w:rPr>
      <w:rFonts w:ascii="Times New Roman" w:eastAsia="Calibri" w:hAnsi="Times New Roman" w:cs="Times New Roman"/>
      <w:snapToGrid w:val="0"/>
      <w:lang w:val="en-GB" w:eastAsia="en-GB"/>
    </w:rPr>
  </w:style>
  <w:style w:type="paragraph" w:styleId="ListParagraph">
    <w:name w:val="List Paragraph"/>
    <w:aliases w:val="List Paragraph (numbered (a)),List bullets,Colorful List - Accent 12,Medium Grid 1 - Accent 21,List Paragraph1,Bullets,Dot pt,F5 List Paragraph,No Spacing1,List Paragraph Char Char Char,Indicator Text,Numbered Para 1,References,Bullet 1,b"/>
    <w:basedOn w:val="Normal"/>
    <w:link w:val="ListParagraphChar"/>
    <w:uiPriority w:val="34"/>
    <w:qFormat/>
    <w:rsid w:val="00AC72CB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bullets Char,Colorful List - Accent 12 Char,Medium Grid 1 - Accent 21 Char,List Paragraph1 Char,Bullets Char,Dot pt Char,F5 List Paragraph Char,No Spacing1 Char,Indicator Text Char,b Char"/>
    <w:link w:val="ListParagraph"/>
    <w:uiPriority w:val="34"/>
    <w:qFormat/>
    <w:locked/>
    <w:rsid w:val="00AC72CB"/>
    <w:rPr>
      <w:rFonts w:ascii="Times New Roman" w:eastAsia="Calibri" w:hAnsi="Times New Roman" w:cs="Times New Roman"/>
      <w:snapToGrid w:val="0"/>
      <w:sz w:val="22"/>
      <w:szCs w:val="23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AC72CB"/>
    <w:pPr>
      <w:spacing w:before="0" w:line="276" w:lineRule="auto"/>
      <w:jc w:val="left"/>
    </w:pPr>
    <w:rPr>
      <w:rFonts w:ascii="Calibri" w:hAnsi="Calibri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C72CB"/>
    <w:rPr>
      <w:rFonts w:ascii="Calibri" w:eastAsia="Calibri" w:hAnsi="Calibri" w:cs="Times New Roman"/>
      <w:sz w:val="22"/>
      <w:szCs w:val="22"/>
    </w:rPr>
  </w:style>
  <w:style w:type="numbering" w:customStyle="1" w:styleId="ImportedStyle1">
    <w:name w:val="Imported Style 1"/>
    <w:rsid w:val="00AC72CB"/>
    <w:pPr>
      <w:numPr>
        <w:numId w:val="3"/>
      </w:numPr>
    </w:pPr>
  </w:style>
  <w:style w:type="numbering" w:customStyle="1" w:styleId="List1">
    <w:name w:val="List 1"/>
    <w:basedOn w:val="NoList"/>
    <w:rsid w:val="00AC72C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669</Words>
  <Characters>3817</Characters>
  <Application>Microsoft Macintosh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8</cp:revision>
  <cp:lastPrinted>2017-05-30T08:44:00Z</cp:lastPrinted>
  <dcterms:created xsi:type="dcterms:W3CDTF">2017-05-24T05:31:00Z</dcterms:created>
  <dcterms:modified xsi:type="dcterms:W3CDTF">2017-05-31T06:17:00Z</dcterms:modified>
</cp:coreProperties>
</file>