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C0D" w:rsidRPr="00430C0D" w:rsidRDefault="00E1019D" w:rsidP="00430C0D">
      <w:pPr>
        <w:pStyle w:val="Heading1"/>
        <w:rPr>
          <w:b/>
        </w:rPr>
      </w:pPr>
      <w:r>
        <w:rPr>
          <w:b/>
        </w:rPr>
        <w:t>Health Sector</w:t>
      </w:r>
      <w:r w:rsidR="00B50BA9">
        <w:rPr>
          <w:b/>
        </w:rPr>
        <w:t xml:space="preserve"> (including HIV/AIDS)</w:t>
      </w:r>
      <w:r>
        <w:rPr>
          <w:b/>
        </w:rPr>
        <w:t xml:space="preserve">: </w:t>
      </w:r>
      <w:r w:rsidR="00773BF9" w:rsidRPr="00430C0D">
        <w:rPr>
          <w:b/>
        </w:rPr>
        <w:t>Rapid Budget Analysis</w:t>
      </w:r>
      <w:r w:rsidR="00E012B9" w:rsidRPr="00430C0D">
        <w:rPr>
          <w:b/>
        </w:rPr>
        <w:t xml:space="preserve"> (RBA)</w:t>
      </w:r>
      <w:r w:rsidR="00773BF9" w:rsidRPr="00430C0D">
        <w:rPr>
          <w:b/>
        </w:rPr>
        <w:t xml:space="preserve"> for Annual Review FY 2013/14</w:t>
      </w:r>
    </w:p>
    <w:p w:rsidR="00773BF9" w:rsidRPr="00430C0D" w:rsidRDefault="00773BF9" w:rsidP="00430C0D">
      <w:pPr>
        <w:pStyle w:val="Heading3"/>
        <w:rPr>
          <w:b w:val="0"/>
          <w:szCs w:val="24"/>
        </w:rPr>
      </w:pPr>
      <w:r w:rsidRPr="00430C0D">
        <w:rPr>
          <w:b w:val="0"/>
          <w:szCs w:val="28"/>
        </w:rPr>
        <w:t>Worki</w:t>
      </w:r>
      <w:r w:rsidR="00430C0D" w:rsidRPr="00430C0D">
        <w:rPr>
          <w:b w:val="0"/>
          <w:szCs w:val="28"/>
        </w:rPr>
        <w:t>n</w:t>
      </w:r>
      <w:r w:rsidRPr="00430C0D">
        <w:rPr>
          <w:b w:val="0"/>
          <w:szCs w:val="28"/>
        </w:rPr>
        <w:t>g Draft</w:t>
      </w:r>
      <w:r w:rsidR="00430C0D" w:rsidRPr="00430C0D">
        <w:rPr>
          <w:b w:val="0"/>
          <w:szCs w:val="28"/>
        </w:rPr>
        <w:t xml:space="preserve"> </w:t>
      </w:r>
      <w:r w:rsidR="00BA27A6">
        <w:rPr>
          <w:b w:val="0"/>
          <w:szCs w:val="28"/>
        </w:rPr>
        <w:t>–</w:t>
      </w:r>
      <w:r w:rsidRPr="00430C0D">
        <w:rPr>
          <w:b w:val="0"/>
          <w:szCs w:val="28"/>
        </w:rPr>
        <w:t xml:space="preserve"> </w:t>
      </w:r>
      <w:r w:rsidR="00BA27A6">
        <w:rPr>
          <w:b w:val="0"/>
          <w:szCs w:val="28"/>
        </w:rPr>
        <w:t>November 4</w:t>
      </w:r>
      <w:r w:rsidRPr="00430C0D">
        <w:rPr>
          <w:b w:val="0"/>
          <w:szCs w:val="28"/>
        </w:rPr>
        <w:t>, 2013</w:t>
      </w:r>
      <w:r w:rsidRPr="00430C0D">
        <w:rPr>
          <w:b w:val="0"/>
          <w:szCs w:val="24"/>
        </w:rPr>
        <w:t>Prepared by DPG-Health and MOHSW RBA and PER Working Group</w:t>
      </w:r>
      <w:r w:rsidR="00E012B9" w:rsidRPr="00430C0D">
        <w:rPr>
          <w:rStyle w:val="FootnoteReference"/>
          <w:b w:val="0"/>
          <w:szCs w:val="24"/>
        </w:rPr>
        <w:footnoteReference w:id="1"/>
      </w:r>
    </w:p>
    <w:p w:rsidR="00773BF9" w:rsidRDefault="004D6C2B" w:rsidP="003D43D7">
      <w:pPr>
        <w:pStyle w:val="Heading4"/>
      </w:pPr>
      <w:r>
        <w:t xml:space="preserve">Table 1: </w:t>
      </w:r>
      <w:r w:rsidR="00773BF9">
        <w:t>Summary Statistics for the Health Sector</w:t>
      </w:r>
    </w:p>
    <w:tbl>
      <w:tblPr>
        <w:tblStyle w:val="LightGrid1"/>
        <w:tblW w:w="4939" w:type="pct"/>
        <w:tblInd w:w="108" w:type="dxa"/>
        <w:tblLayout w:type="fixed"/>
        <w:tblLook w:val="04A0" w:firstRow="1" w:lastRow="0" w:firstColumn="1" w:lastColumn="0" w:noHBand="0" w:noVBand="1"/>
      </w:tblPr>
      <w:tblGrid>
        <w:gridCol w:w="2340"/>
        <w:gridCol w:w="1710"/>
        <w:gridCol w:w="1738"/>
        <w:gridCol w:w="1772"/>
        <w:gridCol w:w="1188"/>
      </w:tblGrid>
      <w:tr w:rsidR="008F321E" w:rsidRPr="00E012B9" w:rsidTr="00ED1790">
        <w:trPr>
          <w:cnfStyle w:val="100000000000" w:firstRow="1" w:lastRow="0" w:firstColumn="0" w:lastColumn="0" w:oddVBand="0" w:evenVBand="0" w:oddHBand="0" w:evenHBand="0" w:firstRowFirstColumn="0" w:firstRowLastColumn="0" w:lastRowFirstColumn="0" w:lastRowLastColumn="0"/>
          <w:trHeight w:val="457"/>
        </w:trPr>
        <w:tc>
          <w:tcPr>
            <w:cnfStyle w:val="001000000000" w:firstRow="0" w:lastRow="0" w:firstColumn="1" w:lastColumn="0" w:oddVBand="0" w:evenVBand="0" w:oddHBand="0" w:evenHBand="0" w:firstRowFirstColumn="0" w:firstRowLastColumn="0" w:lastRowFirstColumn="0" w:lastRowLastColumn="0"/>
            <w:tcW w:w="1337" w:type="pct"/>
          </w:tcPr>
          <w:p w:rsidR="008F321E" w:rsidRPr="00E012B9" w:rsidRDefault="008F321E" w:rsidP="00A3297A">
            <w:pPr>
              <w:spacing w:line="240" w:lineRule="auto"/>
              <w:rPr>
                <w:rFonts w:asciiTheme="minorHAnsi" w:hAnsiTheme="minorHAnsi"/>
                <w:sz w:val="18"/>
                <w:szCs w:val="18"/>
              </w:rPr>
            </w:pPr>
            <w:r w:rsidRPr="00E012B9">
              <w:rPr>
                <w:rFonts w:asciiTheme="minorHAnsi" w:hAnsiTheme="minorHAnsi"/>
                <w:sz w:val="18"/>
                <w:szCs w:val="18"/>
              </w:rPr>
              <w:t>Selected Statistics</w:t>
            </w:r>
          </w:p>
        </w:tc>
        <w:tc>
          <w:tcPr>
            <w:tcW w:w="977" w:type="pct"/>
          </w:tcPr>
          <w:p w:rsidR="008F321E" w:rsidRPr="00E012B9" w:rsidRDefault="008F321E" w:rsidP="00A3297A">
            <w:pPr>
              <w:spacing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E012B9">
              <w:rPr>
                <w:rFonts w:asciiTheme="minorHAnsi" w:hAnsiTheme="minorHAnsi"/>
                <w:sz w:val="18"/>
                <w:szCs w:val="18"/>
              </w:rPr>
              <w:t>2012/13 Budget</w:t>
            </w:r>
          </w:p>
        </w:tc>
        <w:tc>
          <w:tcPr>
            <w:tcW w:w="993" w:type="pct"/>
          </w:tcPr>
          <w:p w:rsidR="008F321E" w:rsidRPr="00E012B9" w:rsidRDefault="008F321E" w:rsidP="00A3297A">
            <w:pPr>
              <w:spacing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E012B9">
              <w:rPr>
                <w:rFonts w:asciiTheme="minorHAnsi" w:hAnsiTheme="minorHAnsi"/>
                <w:sz w:val="18"/>
                <w:szCs w:val="18"/>
              </w:rPr>
              <w:t>2012/13 Actual (expenditure)</w:t>
            </w:r>
          </w:p>
        </w:tc>
        <w:tc>
          <w:tcPr>
            <w:tcW w:w="1013" w:type="pct"/>
          </w:tcPr>
          <w:p w:rsidR="008F321E" w:rsidRPr="00E012B9" w:rsidRDefault="008F321E" w:rsidP="00A3297A">
            <w:pPr>
              <w:spacing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E012B9">
              <w:rPr>
                <w:rFonts w:asciiTheme="minorHAnsi" w:hAnsiTheme="minorHAnsi"/>
                <w:sz w:val="18"/>
                <w:szCs w:val="18"/>
              </w:rPr>
              <w:t>2013/14 Budget</w:t>
            </w:r>
          </w:p>
        </w:tc>
        <w:tc>
          <w:tcPr>
            <w:tcW w:w="679" w:type="pct"/>
          </w:tcPr>
          <w:p w:rsidR="008F321E" w:rsidRPr="00E012B9" w:rsidRDefault="008F321E" w:rsidP="00A3297A">
            <w:pPr>
              <w:spacing w:line="240" w:lineRule="auto"/>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Real Growth Rate</w:t>
            </w:r>
          </w:p>
        </w:tc>
      </w:tr>
      <w:tr w:rsidR="008F321E" w:rsidRPr="00E012B9" w:rsidTr="00ED1790">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1337" w:type="pct"/>
          </w:tcPr>
          <w:p w:rsidR="008F321E" w:rsidRPr="00E012B9" w:rsidRDefault="008F321E" w:rsidP="00A3297A">
            <w:pPr>
              <w:spacing w:line="240" w:lineRule="auto"/>
              <w:rPr>
                <w:rFonts w:asciiTheme="minorHAnsi" w:hAnsiTheme="minorHAnsi"/>
                <w:sz w:val="18"/>
                <w:szCs w:val="18"/>
              </w:rPr>
            </w:pPr>
            <w:r w:rsidRPr="00E012B9">
              <w:rPr>
                <w:rFonts w:asciiTheme="minorHAnsi" w:hAnsiTheme="minorHAnsi"/>
                <w:sz w:val="18"/>
                <w:szCs w:val="18"/>
              </w:rPr>
              <w:t>Total GOT Health Sector in TZS*</w:t>
            </w:r>
          </w:p>
        </w:tc>
        <w:tc>
          <w:tcPr>
            <w:tcW w:w="977" w:type="pct"/>
          </w:tcPr>
          <w:p w:rsidR="008F321E" w:rsidRPr="00ED1790" w:rsidRDefault="008F321E" w:rsidP="00A3297A">
            <w:pPr>
              <w:spacing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ED1790">
              <w:rPr>
                <w:sz w:val="18"/>
                <w:szCs w:val="18"/>
              </w:rPr>
              <w:t>1,257,943,685,225</w:t>
            </w:r>
          </w:p>
        </w:tc>
        <w:tc>
          <w:tcPr>
            <w:tcW w:w="993" w:type="pct"/>
          </w:tcPr>
          <w:p w:rsidR="008F321E" w:rsidRPr="00ED1790" w:rsidRDefault="008F321E" w:rsidP="00A3297A">
            <w:pPr>
              <w:spacing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ED1790">
              <w:rPr>
                <w:sz w:val="18"/>
                <w:szCs w:val="18"/>
              </w:rPr>
              <w:t>1,124,928,872,372</w:t>
            </w:r>
          </w:p>
        </w:tc>
        <w:tc>
          <w:tcPr>
            <w:tcW w:w="1013" w:type="pct"/>
          </w:tcPr>
          <w:p w:rsidR="008F321E" w:rsidRPr="00ED1790" w:rsidRDefault="008F321E" w:rsidP="00A3297A">
            <w:pPr>
              <w:spacing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ED1790">
              <w:rPr>
                <w:sz w:val="18"/>
                <w:szCs w:val="18"/>
              </w:rPr>
              <w:t>1,453,687,043,338</w:t>
            </w:r>
          </w:p>
        </w:tc>
        <w:tc>
          <w:tcPr>
            <w:tcW w:w="679" w:type="pct"/>
          </w:tcPr>
          <w:p w:rsidR="008F321E" w:rsidRPr="00ED1790" w:rsidRDefault="008F321E" w:rsidP="00A3297A">
            <w:pPr>
              <w:spacing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ED1790">
              <w:rPr>
                <w:sz w:val="18"/>
                <w:szCs w:val="18"/>
              </w:rPr>
              <w:t>9</w:t>
            </w:r>
            <w:r w:rsidR="00C761ED" w:rsidRPr="00ED1790">
              <w:rPr>
                <w:sz w:val="18"/>
                <w:szCs w:val="18"/>
              </w:rPr>
              <w:t>.0</w:t>
            </w:r>
            <w:r w:rsidRPr="00ED1790">
              <w:rPr>
                <w:sz w:val="18"/>
                <w:szCs w:val="18"/>
              </w:rPr>
              <w:t>%</w:t>
            </w:r>
          </w:p>
        </w:tc>
      </w:tr>
      <w:tr w:rsidR="00B50BA9" w:rsidRPr="00E012B9" w:rsidTr="00ED1790">
        <w:trPr>
          <w:cnfStyle w:val="000000010000" w:firstRow="0" w:lastRow="0" w:firstColumn="0" w:lastColumn="0" w:oddVBand="0" w:evenVBand="0" w:oddHBand="0" w:evenHBand="1"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1337" w:type="pct"/>
          </w:tcPr>
          <w:p w:rsidR="00B50BA9" w:rsidRPr="00ED1790" w:rsidRDefault="00B50BA9" w:rsidP="00A3297A">
            <w:pPr>
              <w:spacing w:line="240" w:lineRule="auto"/>
              <w:rPr>
                <w:rFonts w:asciiTheme="minorHAnsi" w:hAnsiTheme="minorHAnsi"/>
                <w:sz w:val="18"/>
                <w:szCs w:val="18"/>
              </w:rPr>
            </w:pPr>
            <w:r>
              <w:rPr>
                <w:rFonts w:asciiTheme="minorHAnsi" w:hAnsiTheme="minorHAnsi"/>
                <w:sz w:val="18"/>
                <w:szCs w:val="18"/>
              </w:rPr>
              <w:t>Per Capita GOT Health in TZS*</w:t>
            </w:r>
          </w:p>
        </w:tc>
        <w:tc>
          <w:tcPr>
            <w:tcW w:w="977" w:type="pct"/>
          </w:tcPr>
          <w:p w:rsidR="00B50BA9" w:rsidRPr="00ED1790" w:rsidDel="000A4F9A" w:rsidRDefault="00B50BA9" w:rsidP="00A3297A">
            <w:pPr>
              <w:spacing w:line="240" w:lineRule="auto"/>
              <w:cnfStyle w:val="000000010000" w:firstRow="0" w:lastRow="0" w:firstColumn="0" w:lastColumn="0" w:oddVBand="0" w:evenVBand="0" w:oddHBand="0" w:evenHBand="1" w:firstRowFirstColumn="0" w:firstRowLastColumn="0" w:lastRowFirstColumn="0" w:lastRowLastColumn="0"/>
              <w:rPr>
                <w:sz w:val="18"/>
                <w:szCs w:val="18"/>
                <w:highlight w:val="yellow"/>
              </w:rPr>
            </w:pPr>
            <w:r w:rsidRPr="00ED1790">
              <w:rPr>
                <w:sz w:val="18"/>
                <w:szCs w:val="18"/>
              </w:rPr>
              <w:t>28,835</w:t>
            </w:r>
          </w:p>
        </w:tc>
        <w:tc>
          <w:tcPr>
            <w:tcW w:w="993" w:type="pct"/>
          </w:tcPr>
          <w:p w:rsidR="00B50BA9" w:rsidRPr="00ED1790" w:rsidRDefault="00B50BA9" w:rsidP="00A3297A">
            <w:pPr>
              <w:spacing w:line="240" w:lineRule="auto"/>
              <w:cnfStyle w:val="000000010000" w:firstRow="0" w:lastRow="0" w:firstColumn="0" w:lastColumn="0" w:oddVBand="0" w:evenVBand="0" w:oddHBand="0" w:evenHBand="1" w:firstRowFirstColumn="0" w:firstRowLastColumn="0" w:lastRowFirstColumn="0" w:lastRowLastColumn="0"/>
              <w:rPr>
                <w:sz w:val="18"/>
                <w:szCs w:val="18"/>
              </w:rPr>
            </w:pPr>
            <w:r w:rsidRPr="00ED1790">
              <w:rPr>
                <w:sz w:val="18"/>
                <w:szCs w:val="18"/>
              </w:rPr>
              <w:t>25,7586</w:t>
            </w:r>
          </w:p>
        </w:tc>
        <w:tc>
          <w:tcPr>
            <w:tcW w:w="1013" w:type="pct"/>
          </w:tcPr>
          <w:p w:rsidR="00B50BA9" w:rsidRPr="00ED1790" w:rsidRDefault="00B50BA9" w:rsidP="00A3297A">
            <w:pPr>
              <w:spacing w:line="240" w:lineRule="auto"/>
              <w:cnfStyle w:val="000000010000" w:firstRow="0" w:lastRow="0" w:firstColumn="0" w:lastColumn="0" w:oddVBand="0" w:evenVBand="0" w:oddHBand="0" w:evenHBand="1" w:firstRowFirstColumn="0" w:firstRowLastColumn="0" w:lastRowFirstColumn="0" w:lastRowLastColumn="0"/>
              <w:rPr>
                <w:sz w:val="18"/>
                <w:szCs w:val="18"/>
              </w:rPr>
            </w:pPr>
            <w:r w:rsidRPr="00ED1790">
              <w:rPr>
                <w:sz w:val="18"/>
                <w:szCs w:val="18"/>
              </w:rPr>
              <w:t>32,446</w:t>
            </w:r>
          </w:p>
        </w:tc>
        <w:tc>
          <w:tcPr>
            <w:tcW w:w="679" w:type="pct"/>
          </w:tcPr>
          <w:p w:rsidR="00B50BA9" w:rsidRPr="00ED1790" w:rsidRDefault="00C761ED" w:rsidP="00A3297A">
            <w:pPr>
              <w:spacing w:line="240" w:lineRule="auto"/>
              <w:cnfStyle w:val="000000010000" w:firstRow="0" w:lastRow="0" w:firstColumn="0" w:lastColumn="0" w:oddVBand="0" w:evenVBand="0" w:oddHBand="0" w:evenHBand="1" w:firstRowFirstColumn="0" w:firstRowLastColumn="0" w:lastRowFirstColumn="0" w:lastRowLastColumn="0"/>
              <w:rPr>
                <w:sz w:val="18"/>
                <w:szCs w:val="18"/>
              </w:rPr>
            </w:pPr>
            <w:r w:rsidRPr="00ED1790">
              <w:rPr>
                <w:sz w:val="18"/>
                <w:szCs w:val="18"/>
              </w:rPr>
              <w:t>6.2</w:t>
            </w:r>
            <w:r w:rsidR="00B50BA9" w:rsidRPr="00ED1790">
              <w:rPr>
                <w:sz w:val="18"/>
                <w:szCs w:val="18"/>
              </w:rPr>
              <w:t>%</w:t>
            </w:r>
          </w:p>
        </w:tc>
      </w:tr>
      <w:tr w:rsidR="00B50BA9" w:rsidRPr="00E012B9" w:rsidTr="00ED1790">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1337" w:type="pct"/>
          </w:tcPr>
          <w:p w:rsidR="008F321E" w:rsidRPr="00E012B9" w:rsidRDefault="008F321E" w:rsidP="00A3297A">
            <w:pPr>
              <w:spacing w:line="240" w:lineRule="auto"/>
              <w:rPr>
                <w:rFonts w:asciiTheme="minorHAnsi" w:hAnsiTheme="minorHAnsi"/>
                <w:sz w:val="18"/>
                <w:szCs w:val="18"/>
              </w:rPr>
            </w:pPr>
            <w:r w:rsidRPr="00E012B9">
              <w:rPr>
                <w:rFonts w:asciiTheme="minorHAnsi" w:hAnsiTheme="minorHAnsi"/>
                <w:sz w:val="18"/>
                <w:szCs w:val="18"/>
              </w:rPr>
              <w:t xml:space="preserve">GOT Health as a % of </w:t>
            </w:r>
            <w:r w:rsidR="00C77F7C">
              <w:rPr>
                <w:rFonts w:asciiTheme="minorHAnsi" w:hAnsiTheme="minorHAnsi"/>
                <w:sz w:val="18"/>
                <w:szCs w:val="18"/>
              </w:rPr>
              <w:t xml:space="preserve">total </w:t>
            </w:r>
            <w:r w:rsidRPr="00E012B9">
              <w:rPr>
                <w:rFonts w:asciiTheme="minorHAnsi" w:hAnsiTheme="minorHAnsi"/>
                <w:sz w:val="18"/>
                <w:szCs w:val="18"/>
              </w:rPr>
              <w:t>GOT</w:t>
            </w:r>
            <w:r w:rsidR="00C77F7C">
              <w:rPr>
                <w:rFonts w:asciiTheme="minorHAnsi" w:hAnsiTheme="minorHAnsi"/>
                <w:sz w:val="18"/>
                <w:szCs w:val="18"/>
              </w:rPr>
              <w:t xml:space="preserve"> (excl. portion of CFS)</w:t>
            </w:r>
          </w:p>
        </w:tc>
        <w:tc>
          <w:tcPr>
            <w:tcW w:w="977" w:type="pct"/>
          </w:tcPr>
          <w:p w:rsidR="008F321E" w:rsidRPr="00ED1790" w:rsidRDefault="003820A2" w:rsidP="00A3297A">
            <w:pPr>
              <w:spacing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ED1790">
              <w:rPr>
                <w:sz w:val="18"/>
                <w:szCs w:val="18"/>
              </w:rPr>
              <w:t>9.6%</w:t>
            </w:r>
          </w:p>
        </w:tc>
        <w:tc>
          <w:tcPr>
            <w:tcW w:w="993" w:type="pct"/>
          </w:tcPr>
          <w:p w:rsidR="008F321E" w:rsidRPr="00ED1790" w:rsidRDefault="007D2707" w:rsidP="00A3297A">
            <w:pPr>
              <w:spacing w:line="240" w:lineRule="auto"/>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9.7%</w:t>
            </w:r>
          </w:p>
        </w:tc>
        <w:tc>
          <w:tcPr>
            <w:tcW w:w="1013" w:type="pct"/>
          </w:tcPr>
          <w:p w:rsidR="008F321E" w:rsidRPr="00ED1790" w:rsidRDefault="008F321E" w:rsidP="00A3297A">
            <w:pPr>
              <w:spacing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ED1790">
              <w:rPr>
                <w:sz w:val="18"/>
                <w:szCs w:val="18"/>
              </w:rPr>
              <w:t>8.7%</w:t>
            </w:r>
          </w:p>
        </w:tc>
        <w:tc>
          <w:tcPr>
            <w:tcW w:w="679" w:type="pct"/>
          </w:tcPr>
          <w:p w:rsidR="008F321E" w:rsidRPr="00ED1790" w:rsidRDefault="00B50BA9" w:rsidP="00A3297A">
            <w:pPr>
              <w:spacing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ED1790">
              <w:rPr>
                <w:sz w:val="18"/>
                <w:szCs w:val="18"/>
              </w:rPr>
              <w:t>NA</w:t>
            </w:r>
          </w:p>
        </w:tc>
      </w:tr>
      <w:tr w:rsidR="00B50BA9" w:rsidRPr="00E012B9" w:rsidTr="00ED1790">
        <w:trPr>
          <w:cnfStyle w:val="000000010000" w:firstRow="0" w:lastRow="0" w:firstColumn="0" w:lastColumn="0" w:oddVBand="0" w:evenVBand="0" w:oddHBand="0" w:evenHBand="1"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1337" w:type="pct"/>
          </w:tcPr>
          <w:p w:rsidR="008F321E" w:rsidRPr="00E012B9" w:rsidRDefault="008F321E" w:rsidP="00A3297A">
            <w:pPr>
              <w:spacing w:line="240" w:lineRule="auto"/>
              <w:rPr>
                <w:rFonts w:asciiTheme="minorHAnsi" w:hAnsiTheme="minorHAnsi"/>
                <w:sz w:val="18"/>
                <w:szCs w:val="18"/>
              </w:rPr>
            </w:pPr>
            <w:r w:rsidRPr="00E012B9">
              <w:rPr>
                <w:rFonts w:asciiTheme="minorHAnsi" w:hAnsiTheme="minorHAnsi"/>
                <w:sz w:val="18"/>
                <w:szCs w:val="18"/>
              </w:rPr>
              <w:t>GOT health expenditure as a share of GDP</w:t>
            </w:r>
          </w:p>
        </w:tc>
        <w:tc>
          <w:tcPr>
            <w:tcW w:w="977" w:type="pct"/>
          </w:tcPr>
          <w:p w:rsidR="008F321E" w:rsidRPr="00ED1790" w:rsidRDefault="000A4F9A" w:rsidP="000A4F9A">
            <w:pPr>
              <w:spacing w:line="240" w:lineRule="auto"/>
              <w:cnfStyle w:val="000000010000" w:firstRow="0" w:lastRow="0" w:firstColumn="0" w:lastColumn="0" w:oddVBand="0" w:evenVBand="0" w:oddHBand="0" w:evenHBand="1" w:firstRowFirstColumn="0" w:firstRowLastColumn="0" w:lastRowFirstColumn="0" w:lastRowLastColumn="0"/>
              <w:rPr>
                <w:sz w:val="18"/>
                <w:szCs w:val="18"/>
              </w:rPr>
            </w:pPr>
            <w:r w:rsidRPr="00ED1790">
              <w:rPr>
                <w:sz w:val="18"/>
                <w:szCs w:val="18"/>
              </w:rPr>
              <w:t>2.6%</w:t>
            </w:r>
          </w:p>
        </w:tc>
        <w:tc>
          <w:tcPr>
            <w:tcW w:w="993" w:type="pct"/>
          </w:tcPr>
          <w:p w:rsidR="008F321E" w:rsidRPr="00ED1790" w:rsidRDefault="008F321E" w:rsidP="00A3297A">
            <w:pPr>
              <w:spacing w:line="240" w:lineRule="auto"/>
              <w:cnfStyle w:val="000000010000" w:firstRow="0" w:lastRow="0" w:firstColumn="0" w:lastColumn="0" w:oddVBand="0" w:evenVBand="0" w:oddHBand="0" w:evenHBand="1" w:firstRowFirstColumn="0" w:firstRowLastColumn="0" w:lastRowFirstColumn="0" w:lastRowLastColumn="0"/>
              <w:rPr>
                <w:sz w:val="18"/>
                <w:szCs w:val="18"/>
              </w:rPr>
            </w:pPr>
            <w:r w:rsidRPr="00ED1790">
              <w:rPr>
                <w:sz w:val="18"/>
                <w:szCs w:val="18"/>
              </w:rPr>
              <w:t>2.3%</w:t>
            </w:r>
          </w:p>
        </w:tc>
        <w:tc>
          <w:tcPr>
            <w:tcW w:w="1013" w:type="pct"/>
          </w:tcPr>
          <w:p w:rsidR="008F321E" w:rsidRPr="00ED1790" w:rsidRDefault="008F321E" w:rsidP="00A3297A">
            <w:pPr>
              <w:spacing w:line="240" w:lineRule="auto"/>
              <w:cnfStyle w:val="000000010000" w:firstRow="0" w:lastRow="0" w:firstColumn="0" w:lastColumn="0" w:oddVBand="0" w:evenVBand="0" w:oddHBand="0" w:evenHBand="1" w:firstRowFirstColumn="0" w:firstRowLastColumn="0" w:lastRowFirstColumn="0" w:lastRowLastColumn="0"/>
              <w:rPr>
                <w:sz w:val="18"/>
                <w:szCs w:val="18"/>
              </w:rPr>
            </w:pPr>
            <w:r w:rsidRPr="00ED1790">
              <w:rPr>
                <w:sz w:val="18"/>
                <w:szCs w:val="18"/>
              </w:rPr>
              <w:t>2.6%</w:t>
            </w:r>
          </w:p>
        </w:tc>
        <w:tc>
          <w:tcPr>
            <w:tcW w:w="679" w:type="pct"/>
          </w:tcPr>
          <w:p w:rsidR="008F321E" w:rsidRPr="00ED1790" w:rsidRDefault="00B50BA9" w:rsidP="00A3297A">
            <w:pPr>
              <w:spacing w:line="240" w:lineRule="auto"/>
              <w:cnfStyle w:val="000000010000" w:firstRow="0" w:lastRow="0" w:firstColumn="0" w:lastColumn="0" w:oddVBand="0" w:evenVBand="0" w:oddHBand="0" w:evenHBand="1" w:firstRowFirstColumn="0" w:firstRowLastColumn="0" w:lastRowFirstColumn="0" w:lastRowLastColumn="0"/>
              <w:rPr>
                <w:sz w:val="18"/>
                <w:szCs w:val="18"/>
              </w:rPr>
            </w:pPr>
            <w:r w:rsidRPr="00ED1790">
              <w:rPr>
                <w:sz w:val="18"/>
                <w:szCs w:val="18"/>
              </w:rPr>
              <w:t>NA</w:t>
            </w:r>
          </w:p>
        </w:tc>
      </w:tr>
      <w:tr w:rsidR="00B50BA9" w:rsidRPr="00E012B9" w:rsidTr="00ED1790">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337" w:type="pct"/>
          </w:tcPr>
          <w:p w:rsidR="008F321E" w:rsidRPr="00E012B9" w:rsidRDefault="008F321E" w:rsidP="00A3297A">
            <w:pPr>
              <w:spacing w:line="240" w:lineRule="auto"/>
              <w:rPr>
                <w:rFonts w:asciiTheme="minorHAnsi" w:hAnsiTheme="minorHAnsi"/>
                <w:sz w:val="18"/>
                <w:szCs w:val="18"/>
              </w:rPr>
            </w:pPr>
            <w:r w:rsidRPr="00E012B9">
              <w:rPr>
                <w:rFonts w:asciiTheme="minorHAnsi" w:hAnsiTheme="minorHAnsi"/>
                <w:sz w:val="18"/>
                <w:szCs w:val="18"/>
              </w:rPr>
              <w:t>Share of Decentralized GOT Health Budget</w:t>
            </w:r>
          </w:p>
        </w:tc>
        <w:tc>
          <w:tcPr>
            <w:tcW w:w="977" w:type="pct"/>
          </w:tcPr>
          <w:p w:rsidR="008F321E" w:rsidRPr="00757ECD" w:rsidRDefault="007733CF" w:rsidP="00A3297A">
            <w:pPr>
              <w:spacing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57ECD">
              <w:rPr>
                <w:sz w:val="18"/>
                <w:szCs w:val="18"/>
              </w:rPr>
              <w:t>46%</w:t>
            </w:r>
          </w:p>
        </w:tc>
        <w:tc>
          <w:tcPr>
            <w:tcW w:w="993" w:type="pct"/>
          </w:tcPr>
          <w:p w:rsidR="008F321E" w:rsidRPr="00757ECD" w:rsidRDefault="007733CF" w:rsidP="00A3297A">
            <w:pPr>
              <w:spacing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57ECD">
              <w:rPr>
                <w:sz w:val="18"/>
                <w:szCs w:val="18"/>
              </w:rPr>
              <w:t>44%</w:t>
            </w:r>
          </w:p>
        </w:tc>
        <w:tc>
          <w:tcPr>
            <w:tcW w:w="1013" w:type="pct"/>
          </w:tcPr>
          <w:p w:rsidR="008F321E" w:rsidRPr="00757ECD" w:rsidRDefault="007733CF" w:rsidP="00A3297A">
            <w:pPr>
              <w:spacing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57ECD">
              <w:rPr>
                <w:sz w:val="18"/>
                <w:szCs w:val="18"/>
              </w:rPr>
              <w:t>38%</w:t>
            </w:r>
          </w:p>
        </w:tc>
        <w:tc>
          <w:tcPr>
            <w:tcW w:w="679" w:type="pct"/>
          </w:tcPr>
          <w:p w:rsidR="008F321E" w:rsidRPr="00757ECD" w:rsidRDefault="006E6413" w:rsidP="00A3297A">
            <w:pPr>
              <w:spacing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57ECD">
              <w:rPr>
                <w:sz w:val="18"/>
                <w:szCs w:val="18"/>
              </w:rPr>
              <w:t>NA</w:t>
            </w:r>
          </w:p>
        </w:tc>
      </w:tr>
    </w:tbl>
    <w:p w:rsidR="00A3297A" w:rsidRPr="00ED1790" w:rsidRDefault="003D43D7" w:rsidP="00ED1790">
      <w:pPr>
        <w:rPr>
          <w:sz w:val="18"/>
          <w:szCs w:val="18"/>
        </w:rPr>
      </w:pPr>
      <w:r w:rsidRPr="00E012B9">
        <w:rPr>
          <w:sz w:val="18"/>
          <w:szCs w:val="18"/>
        </w:rPr>
        <w:t>*TZS expressed in nominal currency; **MOF/World Bank Estimates; ***Population based on</w:t>
      </w:r>
      <w:r w:rsidR="00C54E6B">
        <w:rPr>
          <w:sz w:val="18"/>
          <w:szCs w:val="18"/>
        </w:rPr>
        <w:t xml:space="preserve"> Census 2012 estimates assuming 2.7</w:t>
      </w:r>
      <w:r w:rsidRPr="00E012B9">
        <w:rPr>
          <w:sz w:val="18"/>
          <w:szCs w:val="18"/>
        </w:rPr>
        <w:t>% growth rate for 2013/14</w:t>
      </w:r>
    </w:p>
    <w:p w:rsidR="00781835" w:rsidRPr="00170A6B" w:rsidRDefault="00D33F1F" w:rsidP="00781835">
      <w:pPr>
        <w:pStyle w:val="Heading4"/>
        <w:rPr>
          <w:rFonts w:asciiTheme="minorHAnsi" w:hAnsiTheme="minorHAnsi"/>
        </w:rPr>
      </w:pPr>
      <w:r w:rsidRPr="00170A6B">
        <w:rPr>
          <w:rFonts w:asciiTheme="minorHAnsi" w:hAnsiTheme="minorHAnsi"/>
        </w:rPr>
        <w:t>Strengths</w:t>
      </w:r>
      <w:r w:rsidR="002D1A99" w:rsidRPr="00170A6B">
        <w:rPr>
          <w:rFonts w:asciiTheme="minorHAnsi" w:hAnsiTheme="minorHAnsi"/>
        </w:rPr>
        <w:t>:</w:t>
      </w:r>
      <w:r w:rsidRPr="00170A6B">
        <w:rPr>
          <w:rFonts w:asciiTheme="minorHAnsi" w:hAnsiTheme="minorHAnsi"/>
        </w:rPr>
        <w:t xml:space="preserve"> </w:t>
      </w:r>
    </w:p>
    <w:p w:rsidR="006E6413" w:rsidRPr="007D2707" w:rsidRDefault="009A3714" w:rsidP="00ED1790">
      <w:pPr>
        <w:pStyle w:val="ListParagraph"/>
        <w:numPr>
          <w:ilvl w:val="0"/>
          <w:numId w:val="5"/>
        </w:numPr>
        <w:rPr>
          <w:color w:val="auto"/>
          <w:sz w:val="20"/>
          <w:szCs w:val="20"/>
        </w:rPr>
      </w:pPr>
      <w:r w:rsidRPr="007D2707">
        <w:rPr>
          <w:color w:val="auto"/>
          <w:sz w:val="20"/>
          <w:szCs w:val="20"/>
        </w:rPr>
        <w:t>The h</w:t>
      </w:r>
      <w:r w:rsidR="006E6413" w:rsidRPr="007D2707">
        <w:rPr>
          <w:color w:val="auto"/>
          <w:sz w:val="20"/>
          <w:szCs w:val="20"/>
        </w:rPr>
        <w:t xml:space="preserve">ealth </w:t>
      </w:r>
      <w:r w:rsidRPr="007D2707">
        <w:rPr>
          <w:color w:val="auto"/>
          <w:sz w:val="20"/>
          <w:szCs w:val="20"/>
        </w:rPr>
        <w:t>sector b</w:t>
      </w:r>
      <w:r w:rsidR="006E6413" w:rsidRPr="007D2707">
        <w:rPr>
          <w:color w:val="auto"/>
          <w:sz w:val="20"/>
          <w:szCs w:val="20"/>
        </w:rPr>
        <w:t>udget has increased in nominal, real, and per capita</w:t>
      </w:r>
      <w:r w:rsidR="00F25E8A">
        <w:rPr>
          <w:color w:val="auto"/>
          <w:sz w:val="20"/>
          <w:szCs w:val="20"/>
        </w:rPr>
        <w:t xml:space="preserve"> terms between FY 12/13 and FY 13/14</w:t>
      </w:r>
      <w:r w:rsidR="00CC4AED" w:rsidRPr="007D2707">
        <w:rPr>
          <w:color w:val="auto"/>
          <w:sz w:val="20"/>
          <w:szCs w:val="20"/>
        </w:rPr>
        <w:t xml:space="preserve">. </w:t>
      </w:r>
      <w:r w:rsidR="006E6413" w:rsidRPr="007D2707">
        <w:rPr>
          <w:color w:val="auto"/>
          <w:sz w:val="20"/>
          <w:szCs w:val="20"/>
        </w:rPr>
        <w:t xml:space="preserve"> </w:t>
      </w:r>
    </w:p>
    <w:p w:rsidR="006E6413" w:rsidRPr="007D2707" w:rsidRDefault="00CC4AED" w:rsidP="00ED1790">
      <w:pPr>
        <w:pStyle w:val="ListParagraph"/>
        <w:numPr>
          <w:ilvl w:val="0"/>
          <w:numId w:val="5"/>
        </w:numPr>
        <w:rPr>
          <w:color w:val="auto"/>
          <w:sz w:val="20"/>
          <w:szCs w:val="20"/>
        </w:rPr>
      </w:pPr>
      <w:r w:rsidRPr="007D2707">
        <w:rPr>
          <w:color w:val="auto"/>
          <w:sz w:val="20"/>
          <w:szCs w:val="20"/>
        </w:rPr>
        <w:t>Non-basket foreign funding to the sector</w:t>
      </w:r>
      <w:r w:rsidR="006E6413" w:rsidRPr="007D2707">
        <w:rPr>
          <w:color w:val="auto"/>
          <w:sz w:val="20"/>
          <w:szCs w:val="20"/>
        </w:rPr>
        <w:t xml:space="preserve"> </w:t>
      </w:r>
      <w:r w:rsidRPr="007D2707">
        <w:rPr>
          <w:color w:val="auto"/>
          <w:sz w:val="20"/>
          <w:szCs w:val="20"/>
        </w:rPr>
        <w:t>has increased, reversing the decline evidenced in the previous year</w:t>
      </w:r>
      <w:r w:rsidR="00DB001A" w:rsidRPr="007D2707">
        <w:rPr>
          <w:color w:val="auto"/>
          <w:sz w:val="20"/>
          <w:szCs w:val="20"/>
        </w:rPr>
        <w:t>’s RBA</w:t>
      </w:r>
      <w:r w:rsidRPr="007D2707">
        <w:rPr>
          <w:color w:val="auto"/>
          <w:sz w:val="20"/>
          <w:szCs w:val="20"/>
        </w:rPr>
        <w:t xml:space="preserve">. </w:t>
      </w:r>
      <w:r w:rsidR="009A3714" w:rsidRPr="007D2707">
        <w:rPr>
          <w:color w:val="auto"/>
          <w:sz w:val="20"/>
          <w:szCs w:val="20"/>
        </w:rPr>
        <w:t xml:space="preserve"> The increase in non-basket foreign funding is particularly prominent in the area of medicines. </w:t>
      </w:r>
    </w:p>
    <w:p w:rsidR="00D33F1F" w:rsidRPr="00170A6B" w:rsidRDefault="00032DBF" w:rsidP="00ED1790">
      <w:pPr>
        <w:pStyle w:val="ListParagraph"/>
        <w:numPr>
          <w:ilvl w:val="0"/>
          <w:numId w:val="5"/>
        </w:numPr>
        <w:rPr>
          <w:i/>
          <w:color w:val="auto"/>
          <w:sz w:val="20"/>
          <w:szCs w:val="20"/>
        </w:rPr>
      </w:pPr>
      <w:r w:rsidRPr="007D2707">
        <w:rPr>
          <w:color w:val="auto"/>
          <w:sz w:val="20"/>
          <w:szCs w:val="20"/>
        </w:rPr>
        <w:t>Unlike FY 11/12, e</w:t>
      </w:r>
      <w:r w:rsidR="00CC4AED" w:rsidRPr="007D2707">
        <w:rPr>
          <w:color w:val="auto"/>
          <w:sz w:val="20"/>
          <w:szCs w:val="20"/>
        </w:rPr>
        <w:t xml:space="preserve">xecution of the </w:t>
      </w:r>
      <w:r w:rsidRPr="007D2707">
        <w:rPr>
          <w:color w:val="auto"/>
          <w:sz w:val="20"/>
          <w:szCs w:val="20"/>
        </w:rPr>
        <w:t>FY 12/13 budget was consistently strong</w:t>
      </w:r>
      <w:r w:rsidR="00DB001A" w:rsidRPr="007D2707">
        <w:rPr>
          <w:color w:val="auto"/>
          <w:sz w:val="20"/>
          <w:szCs w:val="20"/>
        </w:rPr>
        <w:t xml:space="preserve"> across both </w:t>
      </w:r>
      <w:r w:rsidR="00DB001A" w:rsidRPr="00170A6B">
        <w:rPr>
          <w:i/>
          <w:color w:val="auto"/>
          <w:sz w:val="20"/>
          <w:szCs w:val="20"/>
        </w:rPr>
        <w:t>foreign and local-heath spending</w:t>
      </w:r>
      <w:r w:rsidR="000900C7" w:rsidRPr="00170A6B">
        <w:rPr>
          <w:i/>
          <w:color w:val="auto"/>
          <w:sz w:val="20"/>
          <w:szCs w:val="20"/>
        </w:rPr>
        <w:t>.</w:t>
      </w:r>
    </w:p>
    <w:p w:rsidR="00D33F1F" w:rsidRPr="00170A6B" w:rsidRDefault="00D33F1F" w:rsidP="00ED1790">
      <w:pPr>
        <w:rPr>
          <w:b/>
          <w:i/>
        </w:rPr>
      </w:pPr>
      <w:r w:rsidRPr="00170A6B">
        <w:rPr>
          <w:b/>
          <w:i/>
        </w:rPr>
        <w:t>Weaknesses</w:t>
      </w:r>
      <w:r w:rsidR="002D1A99" w:rsidRPr="00170A6B">
        <w:rPr>
          <w:b/>
          <w:i/>
        </w:rPr>
        <w:t>:</w:t>
      </w:r>
    </w:p>
    <w:p w:rsidR="00B41A6F" w:rsidRPr="007D2707" w:rsidRDefault="0080382B" w:rsidP="00ED1790">
      <w:pPr>
        <w:pStyle w:val="ListParagraph"/>
        <w:numPr>
          <w:ilvl w:val="0"/>
          <w:numId w:val="6"/>
        </w:numPr>
        <w:rPr>
          <w:color w:val="auto"/>
          <w:sz w:val="20"/>
          <w:szCs w:val="20"/>
        </w:rPr>
      </w:pPr>
      <w:r w:rsidRPr="007D2707">
        <w:rPr>
          <w:color w:val="auto"/>
          <w:sz w:val="20"/>
          <w:szCs w:val="20"/>
        </w:rPr>
        <w:t xml:space="preserve">Increase in non-basket foreign funding to the health sector masks </w:t>
      </w:r>
      <w:r w:rsidR="009A3714" w:rsidRPr="007D2707">
        <w:rPr>
          <w:color w:val="auto"/>
          <w:sz w:val="20"/>
          <w:szCs w:val="20"/>
        </w:rPr>
        <w:t xml:space="preserve">absolute and real term </w:t>
      </w:r>
      <w:r w:rsidRPr="007D2707">
        <w:rPr>
          <w:color w:val="auto"/>
          <w:sz w:val="20"/>
          <w:szCs w:val="20"/>
        </w:rPr>
        <w:t xml:space="preserve">declines in health basket funds and </w:t>
      </w:r>
      <w:proofErr w:type="spellStart"/>
      <w:r w:rsidRPr="007D2707">
        <w:rPr>
          <w:color w:val="auto"/>
          <w:sz w:val="20"/>
          <w:szCs w:val="20"/>
        </w:rPr>
        <w:t>GoT</w:t>
      </w:r>
      <w:proofErr w:type="spellEnd"/>
      <w:r w:rsidRPr="007D2707">
        <w:rPr>
          <w:color w:val="auto"/>
          <w:sz w:val="20"/>
          <w:szCs w:val="20"/>
        </w:rPr>
        <w:t xml:space="preserve"> Local (domestic and GBS) resources to the heath sector.</w:t>
      </w:r>
      <w:r w:rsidR="00B41A6F" w:rsidRPr="007D2707">
        <w:rPr>
          <w:color w:val="auto"/>
          <w:sz w:val="20"/>
          <w:szCs w:val="20"/>
        </w:rPr>
        <w:t xml:space="preserve"> </w:t>
      </w:r>
    </w:p>
    <w:p w:rsidR="00BA40F0" w:rsidRPr="007D2707" w:rsidRDefault="00B41A6F" w:rsidP="00ED1790">
      <w:pPr>
        <w:pStyle w:val="ListParagraph"/>
        <w:numPr>
          <w:ilvl w:val="1"/>
          <w:numId w:val="6"/>
        </w:numPr>
        <w:rPr>
          <w:b/>
          <w:color w:val="auto"/>
          <w:sz w:val="20"/>
          <w:szCs w:val="20"/>
        </w:rPr>
      </w:pPr>
      <w:r w:rsidRPr="007D2707">
        <w:rPr>
          <w:color w:val="auto"/>
          <w:sz w:val="20"/>
          <w:szCs w:val="20"/>
        </w:rPr>
        <w:t xml:space="preserve">A declining share of </w:t>
      </w:r>
      <w:proofErr w:type="spellStart"/>
      <w:r w:rsidRPr="007D2707">
        <w:rPr>
          <w:color w:val="auto"/>
          <w:sz w:val="20"/>
          <w:szCs w:val="20"/>
        </w:rPr>
        <w:t>GoTs</w:t>
      </w:r>
      <w:proofErr w:type="spellEnd"/>
      <w:r w:rsidRPr="007D2707">
        <w:rPr>
          <w:color w:val="auto"/>
          <w:sz w:val="20"/>
          <w:szCs w:val="20"/>
        </w:rPr>
        <w:t xml:space="preserve"> own discretionary resources to the health sector further suggests declining relative priority of the sector (potentially linked to Big Results Now).</w:t>
      </w:r>
    </w:p>
    <w:p w:rsidR="00032DBF" w:rsidRPr="007D2707" w:rsidRDefault="00B41A6F" w:rsidP="00ED1790">
      <w:pPr>
        <w:pStyle w:val="ListParagraph"/>
        <w:numPr>
          <w:ilvl w:val="0"/>
          <w:numId w:val="6"/>
        </w:numPr>
        <w:rPr>
          <w:b/>
          <w:color w:val="auto"/>
          <w:sz w:val="20"/>
          <w:szCs w:val="20"/>
        </w:rPr>
      </w:pPr>
      <w:r w:rsidRPr="007D2707">
        <w:rPr>
          <w:color w:val="auto"/>
          <w:sz w:val="20"/>
          <w:szCs w:val="20"/>
        </w:rPr>
        <w:t>D</w:t>
      </w:r>
      <w:r w:rsidR="00032DBF" w:rsidRPr="007D2707">
        <w:rPr>
          <w:color w:val="auto"/>
          <w:sz w:val="20"/>
          <w:szCs w:val="20"/>
        </w:rPr>
        <w:t xml:space="preserve">ecrease in </w:t>
      </w:r>
      <w:r w:rsidRPr="007D2707">
        <w:rPr>
          <w:color w:val="auto"/>
          <w:sz w:val="20"/>
          <w:szCs w:val="20"/>
        </w:rPr>
        <w:t xml:space="preserve">Health Basket foreign and GOT local (domestic and GBS) </w:t>
      </w:r>
      <w:r w:rsidR="008F42BD" w:rsidRPr="007D2707">
        <w:rPr>
          <w:color w:val="auto"/>
          <w:sz w:val="20"/>
          <w:szCs w:val="20"/>
        </w:rPr>
        <w:t xml:space="preserve">resources - </w:t>
      </w:r>
      <w:r w:rsidR="00032DBF" w:rsidRPr="007D2707">
        <w:rPr>
          <w:color w:val="auto"/>
          <w:sz w:val="20"/>
          <w:szCs w:val="20"/>
        </w:rPr>
        <w:t>fewer o</w:t>
      </w:r>
      <w:r w:rsidR="008F42BD" w:rsidRPr="007D2707">
        <w:rPr>
          <w:color w:val="auto"/>
          <w:sz w:val="20"/>
          <w:szCs w:val="20"/>
        </w:rPr>
        <w:t>verall systems resources supporting</w:t>
      </w:r>
      <w:r w:rsidR="00032DBF" w:rsidRPr="007D2707">
        <w:rPr>
          <w:color w:val="auto"/>
          <w:sz w:val="20"/>
          <w:szCs w:val="20"/>
        </w:rPr>
        <w:t xml:space="preserve"> </w:t>
      </w:r>
      <w:r w:rsidR="008F42BD" w:rsidRPr="007D2707">
        <w:rPr>
          <w:color w:val="auto"/>
          <w:sz w:val="20"/>
          <w:szCs w:val="20"/>
        </w:rPr>
        <w:t xml:space="preserve">increasing </w:t>
      </w:r>
      <w:r w:rsidR="00781835" w:rsidRPr="007D2707">
        <w:rPr>
          <w:color w:val="auto"/>
          <w:sz w:val="20"/>
          <w:szCs w:val="20"/>
        </w:rPr>
        <w:t>foreign disease specific resources</w:t>
      </w:r>
      <w:r w:rsidR="008F42BD" w:rsidRPr="007D2707">
        <w:rPr>
          <w:color w:val="auto"/>
          <w:sz w:val="20"/>
          <w:szCs w:val="20"/>
        </w:rPr>
        <w:t xml:space="preserve"> – could potentially have negative impact on foreign on-budget execution in FY 13/14.  </w:t>
      </w:r>
      <w:r w:rsidR="00032DBF" w:rsidRPr="007D2707">
        <w:rPr>
          <w:color w:val="auto"/>
          <w:sz w:val="20"/>
          <w:szCs w:val="20"/>
        </w:rPr>
        <w:t xml:space="preserve"> </w:t>
      </w:r>
    </w:p>
    <w:p w:rsidR="00BA40F0" w:rsidRPr="007D2707" w:rsidRDefault="00BA40F0" w:rsidP="00ED1790">
      <w:pPr>
        <w:pStyle w:val="ListParagraph"/>
        <w:numPr>
          <w:ilvl w:val="0"/>
          <w:numId w:val="6"/>
        </w:numPr>
        <w:rPr>
          <w:b/>
          <w:color w:val="auto"/>
          <w:sz w:val="20"/>
          <w:szCs w:val="20"/>
        </w:rPr>
      </w:pPr>
      <w:r w:rsidRPr="007D2707">
        <w:rPr>
          <w:color w:val="auto"/>
          <w:sz w:val="20"/>
          <w:szCs w:val="20"/>
        </w:rPr>
        <w:t>Geographic ine</w:t>
      </w:r>
      <w:r w:rsidR="00781835" w:rsidRPr="007D2707">
        <w:rPr>
          <w:color w:val="auto"/>
          <w:sz w:val="20"/>
          <w:szCs w:val="20"/>
        </w:rPr>
        <w:t>quality</w:t>
      </w:r>
      <w:r w:rsidR="008F42BD" w:rsidRPr="007D2707">
        <w:rPr>
          <w:color w:val="auto"/>
          <w:sz w:val="20"/>
          <w:szCs w:val="20"/>
        </w:rPr>
        <w:t xml:space="preserve"> in Health Block Grant</w:t>
      </w:r>
      <w:r w:rsidR="00781835" w:rsidRPr="007D2707">
        <w:rPr>
          <w:color w:val="auto"/>
          <w:sz w:val="20"/>
          <w:szCs w:val="20"/>
        </w:rPr>
        <w:t xml:space="preserve"> (OC and PE) distribution amongst</w:t>
      </w:r>
      <w:r w:rsidR="008F42BD" w:rsidRPr="007D2707">
        <w:rPr>
          <w:color w:val="auto"/>
          <w:sz w:val="20"/>
          <w:szCs w:val="20"/>
        </w:rPr>
        <w:t xml:space="preserve"> LGAs</w:t>
      </w:r>
      <w:r w:rsidR="00781835" w:rsidRPr="007D2707">
        <w:rPr>
          <w:color w:val="auto"/>
          <w:sz w:val="20"/>
          <w:szCs w:val="20"/>
        </w:rPr>
        <w:t xml:space="preserve"> remains substantial. Integrity of LGA budget data could be improved.   </w:t>
      </w:r>
      <w:r w:rsidR="008F42BD" w:rsidRPr="007D2707">
        <w:rPr>
          <w:color w:val="auto"/>
          <w:sz w:val="20"/>
          <w:szCs w:val="20"/>
        </w:rPr>
        <w:t xml:space="preserve"> </w:t>
      </w:r>
    </w:p>
    <w:p w:rsidR="00D33F1F" w:rsidRDefault="00D33F1F" w:rsidP="00A3297A">
      <w:pPr>
        <w:pStyle w:val="Heading4"/>
      </w:pPr>
    </w:p>
    <w:p w:rsidR="00660B18" w:rsidRDefault="006E6413" w:rsidP="00757ECD">
      <w:pPr>
        <w:pStyle w:val="Heading4"/>
      </w:pPr>
      <w:r>
        <w:t xml:space="preserve">Overall Development </w:t>
      </w:r>
    </w:p>
    <w:p w:rsidR="00757ECD" w:rsidRPr="00757ECD" w:rsidRDefault="00757ECD" w:rsidP="002B727B">
      <w:pPr>
        <w:jc w:val="both"/>
        <w:rPr>
          <w:sz w:val="18"/>
          <w:szCs w:val="18"/>
        </w:rPr>
      </w:pPr>
    </w:p>
    <w:p w:rsidR="00660B18" w:rsidRPr="00660B18" w:rsidRDefault="004D6C2B" w:rsidP="002B727B">
      <w:pPr>
        <w:jc w:val="both"/>
        <w:rPr>
          <w:i/>
          <w:sz w:val="20"/>
          <w:szCs w:val="20"/>
        </w:rPr>
      </w:pPr>
      <w:r>
        <w:rPr>
          <w:i/>
          <w:sz w:val="20"/>
          <w:szCs w:val="20"/>
        </w:rPr>
        <w:t xml:space="preserve">Overall </w:t>
      </w:r>
      <w:r w:rsidR="00757ECD">
        <w:rPr>
          <w:i/>
          <w:sz w:val="20"/>
          <w:szCs w:val="20"/>
        </w:rPr>
        <w:t>GOT</w:t>
      </w:r>
      <w:r>
        <w:rPr>
          <w:i/>
          <w:sz w:val="20"/>
          <w:szCs w:val="20"/>
        </w:rPr>
        <w:t xml:space="preserve"> health budget trends</w:t>
      </w:r>
    </w:p>
    <w:p w:rsidR="0039298F" w:rsidRDefault="007D2707" w:rsidP="002B727B">
      <w:pPr>
        <w:jc w:val="both"/>
        <w:rPr>
          <w:sz w:val="20"/>
          <w:szCs w:val="20"/>
        </w:rPr>
      </w:pPr>
      <w:r w:rsidRPr="000E7879">
        <w:rPr>
          <w:sz w:val="20"/>
          <w:szCs w:val="20"/>
        </w:rPr>
        <w:t>The RBA provides an overview of health spending through the GOT (including all fun</w:t>
      </w:r>
      <w:r w:rsidR="000E7879" w:rsidRPr="000E7879">
        <w:rPr>
          <w:sz w:val="20"/>
          <w:szCs w:val="20"/>
        </w:rPr>
        <w:t xml:space="preserve">ds going </w:t>
      </w:r>
      <w:r w:rsidR="000E7879">
        <w:rPr>
          <w:sz w:val="20"/>
          <w:szCs w:val="20"/>
        </w:rPr>
        <w:t>to the</w:t>
      </w:r>
      <w:r w:rsidR="000E7879" w:rsidRPr="000E7879">
        <w:rPr>
          <w:sz w:val="20"/>
          <w:szCs w:val="20"/>
        </w:rPr>
        <w:t xml:space="preserve"> </w:t>
      </w:r>
      <w:r w:rsidR="000E7879">
        <w:rPr>
          <w:sz w:val="20"/>
          <w:szCs w:val="20"/>
        </w:rPr>
        <w:t xml:space="preserve">public sector through </w:t>
      </w:r>
      <w:r w:rsidR="000E7879" w:rsidRPr="000E7879">
        <w:rPr>
          <w:sz w:val="20"/>
          <w:szCs w:val="20"/>
        </w:rPr>
        <w:t>the exchequer).</w:t>
      </w:r>
      <w:r w:rsidR="000E7879">
        <w:rPr>
          <w:rStyle w:val="FootnoteReference"/>
          <w:sz w:val="20"/>
          <w:szCs w:val="20"/>
        </w:rPr>
        <w:footnoteReference w:id="2"/>
      </w:r>
      <w:r w:rsidR="000E7879" w:rsidRPr="000E7879">
        <w:rPr>
          <w:sz w:val="20"/>
          <w:szCs w:val="20"/>
        </w:rPr>
        <w:t xml:space="preserve"> </w:t>
      </w:r>
      <w:r w:rsidR="00213D30">
        <w:rPr>
          <w:sz w:val="20"/>
          <w:szCs w:val="20"/>
        </w:rPr>
        <w:t>In this respect, t</w:t>
      </w:r>
      <w:r w:rsidR="00CC4AED">
        <w:rPr>
          <w:sz w:val="20"/>
          <w:szCs w:val="20"/>
        </w:rPr>
        <w:t xml:space="preserve">he </w:t>
      </w:r>
      <w:r w:rsidR="00E1019D" w:rsidRPr="001D037C">
        <w:rPr>
          <w:sz w:val="20"/>
          <w:szCs w:val="20"/>
        </w:rPr>
        <w:t>GOT budget for health</w:t>
      </w:r>
      <w:r w:rsidR="00CC4AED">
        <w:rPr>
          <w:sz w:val="20"/>
          <w:szCs w:val="20"/>
        </w:rPr>
        <w:t xml:space="preserve"> (including HIV/AIDS)</w:t>
      </w:r>
      <w:r w:rsidR="000E7879">
        <w:rPr>
          <w:sz w:val="20"/>
          <w:szCs w:val="20"/>
        </w:rPr>
        <w:t xml:space="preserve"> </w:t>
      </w:r>
      <w:r w:rsidR="00CC4AED">
        <w:rPr>
          <w:sz w:val="20"/>
          <w:szCs w:val="20"/>
        </w:rPr>
        <w:t xml:space="preserve">increased in nominal terms from 1.26 Trillion TZS to 1.45 Trillion. </w:t>
      </w:r>
      <w:r w:rsidR="00DB001A">
        <w:rPr>
          <w:sz w:val="20"/>
          <w:szCs w:val="20"/>
        </w:rPr>
        <w:t xml:space="preserve"> As opposed to previous years</w:t>
      </w:r>
      <w:r w:rsidR="00CC4AED">
        <w:rPr>
          <w:sz w:val="20"/>
          <w:szCs w:val="20"/>
        </w:rPr>
        <w:t xml:space="preserve">, the growth in the overall health budget </w:t>
      </w:r>
      <w:r w:rsidR="00DB001A">
        <w:rPr>
          <w:sz w:val="20"/>
          <w:szCs w:val="20"/>
        </w:rPr>
        <w:t>was able to resist pressure from inflation and population growth. The budget increased by 9</w:t>
      </w:r>
      <w:r w:rsidR="00213D30">
        <w:rPr>
          <w:sz w:val="20"/>
          <w:szCs w:val="20"/>
        </w:rPr>
        <w:t>.0</w:t>
      </w:r>
      <w:r w:rsidR="00DB001A">
        <w:rPr>
          <w:sz w:val="20"/>
          <w:szCs w:val="20"/>
        </w:rPr>
        <w:t xml:space="preserve">% in real terms and by 6.2% on a real per capita basis. </w:t>
      </w:r>
      <w:r w:rsidR="00BA40F0">
        <w:rPr>
          <w:sz w:val="20"/>
          <w:szCs w:val="20"/>
        </w:rPr>
        <w:t>However, t</w:t>
      </w:r>
      <w:r w:rsidR="000900C7">
        <w:rPr>
          <w:sz w:val="20"/>
          <w:szCs w:val="20"/>
        </w:rPr>
        <w:t xml:space="preserve">he health sector’s </w:t>
      </w:r>
      <w:r w:rsidR="00DB001A">
        <w:rPr>
          <w:sz w:val="20"/>
          <w:szCs w:val="20"/>
        </w:rPr>
        <w:t xml:space="preserve">share of the total </w:t>
      </w:r>
      <w:proofErr w:type="spellStart"/>
      <w:r w:rsidR="00DB001A">
        <w:rPr>
          <w:sz w:val="20"/>
          <w:szCs w:val="20"/>
        </w:rPr>
        <w:t>GoT</w:t>
      </w:r>
      <w:proofErr w:type="spellEnd"/>
      <w:r w:rsidR="00DB001A">
        <w:rPr>
          <w:sz w:val="20"/>
          <w:szCs w:val="20"/>
        </w:rPr>
        <w:t xml:space="preserve"> budget</w:t>
      </w:r>
      <w:r w:rsidR="000900C7">
        <w:rPr>
          <w:sz w:val="20"/>
          <w:szCs w:val="20"/>
        </w:rPr>
        <w:t xml:space="preserve"> resources has reduced, from 9.6% in FY 12/13 to 8.7% in FY 13/14.  </w:t>
      </w:r>
      <w:r w:rsidR="00BA40F0">
        <w:rPr>
          <w:sz w:val="20"/>
          <w:szCs w:val="20"/>
        </w:rPr>
        <w:t>The health sector share</w:t>
      </w:r>
      <w:r w:rsidR="000900C7">
        <w:rPr>
          <w:sz w:val="20"/>
          <w:szCs w:val="20"/>
        </w:rPr>
        <w:t xml:space="preserve"> remains significantly below the Abuja target </w:t>
      </w:r>
      <w:r w:rsidR="00BA40F0">
        <w:rPr>
          <w:sz w:val="20"/>
          <w:szCs w:val="20"/>
        </w:rPr>
        <w:t xml:space="preserve">recommendation of </w:t>
      </w:r>
      <w:r w:rsidR="000900C7">
        <w:rPr>
          <w:sz w:val="20"/>
          <w:szCs w:val="20"/>
        </w:rPr>
        <w:t>15%</w:t>
      </w:r>
      <w:r w:rsidR="00213D30">
        <w:rPr>
          <w:sz w:val="20"/>
          <w:szCs w:val="20"/>
        </w:rPr>
        <w:t>.</w:t>
      </w:r>
    </w:p>
    <w:p w:rsidR="00757ECD" w:rsidRPr="00757ECD" w:rsidRDefault="00757ECD" w:rsidP="002B727B">
      <w:pPr>
        <w:jc w:val="both"/>
        <w:rPr>
          <w:i/>
          <w:sz w:val="20"/>
          <w:szCs w:val="20"/>
        </w:rPr>
      </w:pPr>
      <w:r>
        <w:rPr>
          <w:i/>
          <w:sz w:val="20"/>
          <w:szCs w:val="20"/>
        </w:rPr>
        <w:t xml:space="preserve">Breakdown of financiers for GOT health budget </w:t>
      </w:r>
    </w:p>
    <w:p w:rsidR="00757ECD" w:rsidRDefault="00757ECD" w:rsidP="002B727B">
      <w:pPr>
        <w:jc w:val="both"/>
        <w:rPr>
          <w:sz w:val="20"/>
          <w:szCs w:val="20"/>
        </w:rPr>
      </w:pPr>
      <w:r>
        <w:rPr>
          <w:sz w:val="20"/>
          <w:szCs w:val="20"/>
        </w:rPr>
        <w:t>I</w:t>
      </w:r>
      <w:r w:rsidRPr="00ED1790">
        <w:rPr>
          <w:sz w:val="20"/>
          <w:szCs w:val="20"/>
        </w:rPr>
        <w:t xml:space="preserve">n stark contrast to the FY 12/13 budget, where an increase in </w:t>
      </w:r>
      <w:proofErr w:type="spellStart"/>
      <w:r w:rsidRPr="00ED1790">
        <w:rPr>
          <w:sz w:val="20"/>
          <w:szCs w:val="20"/>
        </w:rPr>
        <w:t>GoT</w:t>
      </w:r>
      <w:proofErr w:type="spellEnd"/>
      <w:r w:rsidRPr="00ED1790">
        <w:rPr>
          <w:sz w:val="20"/>
          <w:szCs w:val="20"/>
        </w:rPr>
        <w:t xml:space="preserve"> discretionary funds (local and GBS) protected the sector from a substantial decrease in </w:t>
      </w:r>
      <w:proofErr w:type="spellStart"/>
      <w:r w:rsidRPr="00ED1790">
        <w:rPr>
          <w:sz w:val="20"/>
          <w:szCs w:val="20"/>
        </w:rPr>
        <w:t>GoT</w:t>
      </w:r>
      <w:proofErr w:type="spellEnd"/>
      <w:r w:rsidRPr="00ED1790">
        <w:rPr>
          <w:sz w:val="20"/>
          <w:szCs w:val="20"/>
        </w:rPr>
        <w:t xml:space="preserve"> on-budget foreign funds, the current year’s budget evidences quite the opposite</w:t>
      </w:r>
      <w:r>
        <w:rPr>
          <w:sz w:val="20"/>
          <w:szCs w:val="20"/>
        </w:rPr>
        <w:t xml:space="preserve"> as shown in Table 2</w:t>
      </w:r>
      <w:r w:rsidRPr="00ED1790">
        <w:rPr>
          <w:sz w:val="20"/>
          <w:szCs w:val="20"/>
        </w:rPr>
        <w:t>. The overall GOT increase in amount for the health</w:t>
      </w:r>
      <w:r>
        <w:rPr>
          <w:sz w:val="20"/>
          <w:szCs w:val="20"/>
        </w:rPr>
        <w:t xml:space="preserve"> sector, as identified earlier, seems to be driven by a 45% increase in foreign investments. The significant increase in on-budget foreign funding masks a decline in local investments (domestic and GBS) to the health sector in both nominal (drop by 10 billion </w:t>
      </w:r>
      <w:proofErr w:type="spellStart"/>
      <w:r>
        <w:rPr>
          <w:sz w:val="20"/>
          <w:szCs w:val="20"/>
        </w:rPr>
        <w:t>Tshs</w:t>
      </w:r>
      <w:proofErr w:type="spellEnd"/>
      <w:r>
        <w:rPr>
          <w:sz w:val="20"/>
          <w:szCs w:val="20"/>
        </w:rPr>
        <w:t xml:space="preserve">) and in real terms (reduction of 7%) between FY 12/13 and FY 13/14. </w:t>
      </w:r>
    </w:p>
    <w:p w:rsidR="004D6C2B" w:rsidRPr="004D6C2B" w:rsidRDefault="004D6C2B" w:rsidP="004D6C2B">
      <w:pPr>
        <w:pStyle w:val="Heading4"/>
      </w:pPr>
      <w:r>
        <w:t>Table 2: Breakdown of GOT Budgets by Local and Foreign Contributions (FY12, FY13,</w:t>
      </w:r>
      <w:r w:rsidR="00F25E8A">
        <w:t xml:space="preserve"> </w:t>
      </w:r>
      <w:r>
        <w:t>FY14)</w:t>
      </w:r>
    </w:p>
    <w:tbl>
      <w:tblPr>
        <w:tblW w:w="8649" w:type="dxa"/>
        <w:tblInd w:w="103" w:type="dxa"/>
        <w:tblLook w:val="04A0" w:firstRow="1" w:lastRow="0" w:firstColumn="1" w:lastColumn="0" w:noHBand="0" w:noVBand="1"/>
      </w:tblPr>
      <w:tblGrid>
        <w:gridCol w:w="3387"/>
        <w:gridCol w:w="1760"/>
        <w:gridCol w:w="1719"/>
        <w:gridCol w:w="1799"/>
      </w:tblGrid>
      <w:tr w:rsidR="0039298F" w:rsidRPr="0039298F" w:rsidTr="00ED1790">
        <w:trPr>
          <w:trHeight w:val="286"/>
        </w:trPr>
        <w:tc>
          <w:tcPr>
            <w:tcW w:w="3387"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39298F" w:rsidRPr="0039298F" w:rsidRDefault="0039298F" w:rsidP="0039298F">
            <w:pPr>
              <w:spacing w:after="0" w:line="240" w:lineRule="auto"/>
              <w:jc w:val="center"/>
              <w:rPr>
                <w:rFonts w:ascii="Calibri" w:eastAsia="Times New Roman" w:hAnsi="Calibri" w:cs="Calibri"/>
                <w:b/>
                <w:bCs/>
                <w:color w:val="000000"/>
                <w:lang w:val="en-GB" w:eastAsia="en-GB"/>
              </w:rPr>
            </w:pPr>
            <w:r w:rsidRPr="0039298F">
              <w:rPr>
                <w:rFonts w:ascii="Calibri" w:eastAsia="Times New Roman" w:hAnsi="Calibri" w:cs="Calibri"/>
                <w:b/>
                <w:bCs/>
                <w:color w:val="000000"/>
                <w:lang w:val="en-GB" w:eastAsia="en-GB"/>
              </w:rPr>
              <w:t>Foreign vs. Local</w:t>
            </w:r>
            <w:r w:rsidR="00221D56">
              <w:rPr>
                <w:rFonts w:ascii="Calibri" w:eastAsia="Times New Roman" w:hAnsi="Calibri" w:cs="Calibri"/>
                <w:b/>
                <w:bCs/>
                <w:color w:val="000000"/>
                <w:lang w:val="en-GB" w:eastAsia="en-GB"/>
              </w:rPr>
              <w:t xml:space="preserve"> (including GBS)</w:t>
            </w:r>
          </w:p>
        </w:tc>
        <w:tc>
          <w:tcPr>
            <w:tcW w:w="1760" w:type="dxa"/>
            <w:tcBorders>
              <w:top w:val="single" w:sz="4" w:space="0" w:color="auto"/>
              <w:left w:val="nil"/>
              <w:bottom w:val="single" w:sz="4" w:space="0" w:color="auto"/>
              <w:right w:val="single" w:sz="4" w:space="0" w:color="auto"/>
            </w:tcBorders>
            <w:shd w:val="clear" w:color="000000" w:fill="C5D9F1"/>
            <w:noWrap/>
            <w:vAlign w:val="center"/>
            <w:hideMark/>
          </w:tcPr>
          <w:p w:rsidR="0039298F" w:rsidRPr="0039298F" w:rsidRDefault="0039298F" w:rsidP="0039298F">
            <w:pPr>
              <w:spacing w:after="0" w:line="240" w:lineRule="auto"/>
              <w:jc w:val="center"/>
              <w:rPr>
                <w:rFonts w:ascii="Calibri" w:eastAsia="Times New Roman" w:hAnsi="Calibri" w:cs="Calibri"/>
                <w:b/>
                <w:bCs/>
                <w:color w:val="000000"/>
                <w:lang w:val="en-GB" w:eastAsia="en-GB"/>
              </w:rPr>
            </w:pPr>
            <w:r w:rsidRPr="0039298F">
              <w:rPr>
                <w:rFonts w:ascii="Calibri" w:eastAsia="Times New Roman" w:hAnsi="Calibri" w:cs="Calibri"/>
                <w:b/>
                <w:bCs/>
                <w:color w:val="000000"/>
                <w:lang w:val="en-GB" w:eastAsia="en-GB"/>
              </w:rPr>
              <w:t>2011-12</w:t>
            </w:r>
            <w:r w:rsidR="00221D56">
              <w:rPr>
                <w:rFonts w:ascii="Calibri" w:eastAsia="Times New Roman" w:hAnsi="Calibri" w:cs="Calibri"/>
                <w:b/>
                <w:bCs/>
                <w:color w:val="000000"/>
                <w:lang w:val="en-GB" w:eastAsia="en-GB"/>
              </w:rPr>
              <w:t xml:space="preserve"> Budget</w:t>
            </w:r>
          </w:p>
        </w:tc>
        <w:tc>
          <w:tcPr>
            <w:tcW w:w="1703" w:type="dxa"/>
            <w:tcBorders>
              <w:top w:val="single" w:sz="4" w:space="0" w:color="auto"/>
              <w:left w:val="nil"/>
              <w:bottom w:val="single" w:sz="4" w:space="0" w:color="auto"/>
              <w:right w:val="single" w:sz="4" w:space="0" w:color="auto"/>
            </w:tcBorders>
            <w:shd w:val="clear" w:color="000000" w:fill="C5D9F1"/>
            <w:noWrap/>
            <w:vAlign w:val="center"/>
            <w:hideMark/>
          </w:tcPr>
          <w:p w:rsidR="0039298F" w:rsidRPr="0039298F" w:rsidRDefault="0039298F" w:rsidP="0039298F">
            <w:pPr>
              <w:spacing w:after="0" w:line="240" w:lineRule="auto"/>
              <w:jc w:val="center"/>
              <w:rPr>
                <w:rFonts w:ascii="Calibri" w:eastAsia="Times New Roman" w:hAnsi="Calibri" w:cs="Calibri"/>
                <w:b/>
                <w:bCs/>
                <w:color w:val="000000"/>
                <w:lang w:val="en-GB" w:eastAsia="en-GB"/>
              </w:rPr>
            </w:pPr>
            <w:r w:rsidRPr="0039298F">
              <w:rPr>
                <w:rFonts w:ascii="Calibri" w:eastAsia="Times New Roman" w:hAnsi="Calibri" w:cs="Calibri"/>
                <w:b/>
                <w:bCs/>
                <w:color w:val="000000"/>
                <w:lang w:val="en-GB" w:eastAsia="en-GB"/>
              </w:rPr>
              <w:t>2012-13</w:t>
            </w:r>
            <w:r w:rsidR="00221D56">
              <w:rPr>
                <w:rFonts w:ascii="Calibri" w:eastAsia="Times New Roman" w:hAnsi="Calibri" w:cs="Calibri"/>
                <w:b/>
                <w:bCs/>
                <w:color w:val="000000"/>
                <w:lang w:val="en-GB" w:eastAsia="en-GB"/>
              </w:rPr>
              <w:t xml:space="preserve"> Budget</w:t>
            </w:r>
          </w:p>
        </w:tc>
        <w:tc>
          <w:tcPr>
            <w:tcW w:w="1799" w:type="dxa"/>
            <w:tcBorders>
              <w:top w:val="single" w:sz="4" w:space="0" w:color="auto"/>
              <w:left w:val="nil"/>
              <w:bottom w:val="single" w:sz="4" w:space="0" w:color="auto"/>
              <w:right w:val="single" w:sz="4" w:space="0" w:color="auto"/>
            </w:tcBorders>
            <w:shd w:val="clear" w:color="000000" w:fill="C5D9F1"/>
            <w:noWrap/>
            <w:vAlign w:val="center"/>
            <w:hideMark/>
          </w:tcPr>
          <w:p w:rsidR="0039298F" w:rsidRPr="0039298F" w:rsidRDefault="0039298F" w:rsidP="0039298F">
            <w:pPr>
              <w:spacing w:after="0" w:line="240" w:lineRule="auto"/>
              <w:jc w:val="center"/>
              <w:rPr>
                <w:rFonts w:ascii="Calibri" w:eastAsia="Times New Roman" w:hAnsi="Calibri" w:cs="Calibri"/>
                <w:b/>
                <w:bCs/>
                <w:color w:val="000000"/>
                <w:lang w:val="en-GB" w:eastAsia="en-GB"/>
              </w:rPr>
            </w:pPr>
            <w:r w:rsidRPr="0039298F">
              <w:rPr>
                <w:rFonts w:ascii="Calibri" w:eastAsia="Times New Roman" w:hAnsi="Calibri" w:cs="Calibri"/>
                <w:b/>
                <w:bCs/>
                <w:color w:val="000000"/>
                <w:lang w:val="en-GB" w:eastAsia="en-GB"/>
              </w:rPr>
              <w:t>2013-14</w:t>
            </w:r>
            <w:r w:rsidR="00221D56">
              <w:rPr>
                <w:rFonts w:ascii="Calibri" w:eastAsia="Times New Roman" w:hAnsi="Calibri" w:cs="Calibri"/>
                <w:b/>
                <w:bCs/>
                <w:color w:val="000000"/>
                <w:lang w:val="en-GB" w:eastAsia="en-GB"/>
              </w:rPr>
              <w:t xml:space="preserve"> Budget</w:t>
            </w:r>
          </w:p>
        </w:tc>
      </w:tr>
      <w:tr w:rsidR="0039298F" w:rsidRPr="0039298F" w:rsidTr="004D6C2B">
        <w:trPr>
          <w:trHeight w:val="286"/>
        </w:trPr>
        <w:tc>
          <w:tcPr>
            <w:tcW w:w="3387" w:type="dxa"/>
            <w:tcBorders>
              <w:top w:val="nil"/>
              <w:left w:val="single" w:sz="4" w:space="0" w:color="auto"/>
              <w:bottom w:val="single" w:sz="4" w:space="0" w:color="auto"/>
              <w:right w:val="single" w:sz="4" w:space="0" w:color="auto"/>
            </w:tcBorders>
            <w:shd w:val="clear" w:color="auto" w:fill="auto"/>
            <w:noWrap/>
            <w:vAlign w:val="bottom"/>
            <w:hideMark/>
          </w:tcPr>
          <w:p w:rsidR="0039298F" w:rsidRPr="0039298F" w:rsidRDefault="0039298F" w:rsidP="0039298F">
            <w:pPr>
              <w:spacing w:after="0" w:line="240" w:lineRule="auto"/>
              <w:rPr>
                <w:rFonts w:ascii="Calibri" w:eastAsia="Times New Roman" w:hAnsi="Calibri" w:cs="Calibri"/>
                <w:color w:val="000000"/>
                <w:lang w:val="en-GB" w:eastAsia="en-GB"/>
              </w:rPr>
            </w:pPr>
            <w:r w:rsidRPr="0039298F">
              <w:rPr>
                <w:rFonts w:ascii="Calibri" w:eastAsia="Times New Roman" w:hAnsi="Calibri" w:cs="Calibri"/>
                <w:color w:val="000000"/>
                <w:lang w:val="en-GB" w:eastAsia="en-GB"/>
              </w:rPr>
              <w:t>Local</w:t>
            </w:r>
            <w:r w:rsidR="00221D56">
              <w:rPr>
                <w:rFonts w:ascii="Calibri" w:eastAsia="Times New Roman" w:hAnsi="Calibri" w:cs="Calibri"/>
                <w:color w:val="000000"/>
                <w:lang w:val="en-GB" w:eastAsia="en-GB"/>
              </w:rPr>
              <w:t xml:space="preserve"> (including GBS)</w:t>
            </w:r>
            <w:r w:rsidRPr="0039298F">
              <w:rPr>
                <w:rFonts w:ascii="Calibri" w:eastAsia="Times New Roman" w:hAnsi="Calibri" w:cs="Calibri"/>
                <w:color w:val="000000"/>
                <w:lang w:val="en-GB" w:eastAsia="en-GB"/>
              </w:rPr>
              <w:t xml:space="preserve"> Contribution Health</w:t>
            </w:r>
            <w:r w:rsidR="009A3714">
              <w:rPr>
                <w:rFonts w:ascii="Calibri" w:eastAsia="Times New Roman" w:hAnsi="Calibri" w:cs="Calibri"/>
                <w:color w:val="000000"/>
                <w:lang w:val="en-GB" w:eastAsia="en-GB"/>
              </w:rPr>
              <w:t xml:space="preserve"> TZS</w:t>
            </w:r>
          </w:p>
        </w:tc>
        <w:tc>
          <w:tcPr>
            <w:tcW w:w="1760" w:type="dxa"/>
            <w:tcBorders>
              <w:top w:val="nil"/>
              <w:left w:val="nil"/>
              <w:bottom w:val="single" w:sz="4" w:space="0" w:color="auto"/>
              <w:right w:val="single" w:sz="4" w:space="0" w:color="auto"/>
            </w:tcBorders>
            <w:shd w:val="clear" w:color="auto" w:fill="auto"/>
            <w:noWrap/>
            <w:vAlign w:val="bottom"/>
            <w:hideMark/>
          </w:tcPr>
          <w:p w:rsidR="0039298F" w:rsidRPr="0039298F" w:rsidRDefault="0039298F" w:rsidP="0039298F">
            <w:pPr>
              <w:spacing w:after="0" w:line="240" w:lineRule="auto"/>
              <w:rPr>
                <w:rFonts w:ascii="Calibri" w:eastAsia="Times New Roman" w:hAnsi="Calibri" w:cs="Calibri"/>
                <w:color w:val="000000"/>
                <w:lang w:val="en-GB" w:eastAsia="en-GB"/>
              </w:rPr>
            </w:pPr>
            <w:r w:rsidRPr="0039298F">
              <w:rPr>
                <w:rFonts w:ascii="Calibri" w:eastAsia="Times New Roman" w:hAnsi="Calibri" w:cs="Calibri"/>
                <w:color w:val="000000"/>
                <w:lang w:val="en-GB" w:eastAsia="en-GB"/>
              </w:rPr>
              <w:t xml:space="preserve">      691,628,000,000 </w:t>
            </w:r>
          </w:p>
        </w:tc>
        <w:tc>
          <w:tcPr>
            <w:tcW w:w="1703" w:type="dxa"/>
            <w:tcBorders>
              <w:top w:val="nil"/>
              <w:left w:val="nil"/>
              <w:bottom w:val="single" w:sz="4" w:space="0" w:color="auto"/>
              <w:right w:val="single" w:sz="4" w:space="0" w:color="auto"/>
            </w:tcBorders>
            <w:shd w:val="clear" w:color="auto" w:fill="auto"/>
            <w:noWrap/>
            <w:vAlign w:val="bottom"/>
            <w:hideMark/>
          </w:tcPr>
          <w:p w:rsidR="0039298F" w:rsidRPr="0039298F" w:rsidRDefault="0039298F" w:rsidP="0039298F">
            <w:pPr>
              <w:spacing w:after="0" w:line="240" w:lineRule="auto"/>
              <w:rPr>
                <w:rFonts w:ascii="Calibri" w:eastAsia="Times New Roman" w:hAnsi="Calibri" w:cs="Calibri"/>
                <w:color w:val="000000"/>
                <w:lang w:val="en-GB" w:eastAsia="en-GB"/>
              </w:rPr>
            </w:pPr>
            <w:r w:rsidRPr="0039298F">
              <w:rPr>
                <w:rFonts w:ascii="Calibri" w:eastAsia="Times New Roman" w:hAnsi="Calibri" w:cs="Calibri"/>
                <w:color w:val="000000"/>
                <w:lang w:val="en-GB" w:eastAsia="en-GB"/>
              </w:rPr>
              <w:t xml:space="preserve">     876,336,770,053 </w:t>
            </w:r>
          </w:p>
        </w:tc>
        <w:tc>
          <w:tcPr>
            <w:tcW w:w="1799" w:type="dxa"/>
            <w:tcBorders>
              <w:top w:val="nil"/>
              <w:left w:val="nil"/>
              <w:bottom w:val="single" w:sz="4" w:space="0" w:color="auto"/>
              <w:right w:val="single" w:sz="4" w:space="0" w:color="auto"/>
            </w:tcBorders>
            <w:shd w:val="clear" w:color="auto" w:fill="auto"/>
            <w:noWrap/>
            <w:vAlign w:val="bottom"/>
            <w:hideMark/>
          </w:tcPr>
          <w:p w:rsidR="0039298F" w:rsidRPr="0039298F" w:rsidRDefault="0039298F" w:rsidP="0039298F">
            <w:pPr>
              <w:spacing w:after="0" w:line="240" w:lineRule="auto"/>
              <w:rPr>
                <w:rFonts w:ascii="Calibri" w:eastAsia="Times New Roman" w:hAnsi="Calibri" w:cs="Calibri"/>
                <w:color w:val="000000"/>
                <w:lang w:val="en-GB" w:eastAsia="en-GB"/>
              </w:rPr>
            </w:pPr>
            <w:r w:rsidRPr="0039298F">
              <w:rPr>
                <w:rFonts w:ascii="Calibri" w:eastAsia="Times New Roman" w:hAnsi="Calibri" w:cs="Calibri"/>
                <w:color w:val="000000"/>
                <w:lang w:val="en-GB" w:eastAsia="en-GB"/>
              </w:rPr>
              <w:t xml:space="preserve">       866,316,764,203 </w:t>
            </w:r>
          </w:p>
        </w:tc>
      </w:tr>
      <w:tr w:rsidR="0039298F" w:rsidRPr="0039298F" w:rsidTr="004D6C2B">
        <w:trPr>
          <w:trHeight w:val="286"/>
        </w:trPr>
        <w:tc>
          <w:tcPr>
            <w:tcW w:w="3387" w:type="dxa"/>
            <w:tcBorders>
              <w:top w:val="single" w:sz="4" w:space="0" w:color="auto"/>
              <w:left w:val="single" w:sz="4" w:space="0" w:color="auto"/>
              <w:bottom w:val="double" w:sz="4" w:space="0" w:color="auto"/>
              <w:right w:val="single" w:sz="4" w:space="0" w:color="auto"/>
            </w:tcBorders>
            <w:shd w:val="clear" w:color="auto" w:fill="auto"/>
            <w:noWrap/>
            <w:vAlign w:val="bottom"/>
            <w:hideMark/>
          </w:tcPr>
          <w:p w:rsidR="0039298F" w:rsidRPr="0039298F" w:rsidRDefault="009A3714" w:rsidP="0039298F">
            <w:pPr>
              <w:spacing w:after="0" w:line="240" w:lineRule="auto"/>
              <w:rPr>
                <w:rFonts w:ascii="Calibri" w:eastAsia="Times New Roman" w:hAnsi="Calibri" w:cs="Calibri"/>
                <w:color w:val="000000"/>
                <w:lang w:val="en-GB" w:eastAsia="en-GB"/>
              </w:rPr>
            </w:pPr>
            <w:r>
              <w:rPr>
                <w:rFonts w:ascii="Calibri" w:eastAsia="Times New Roman" w:hAnsi="Calibri" w:cs="Calibri"/>
                <w:color w:val="000000"/>
                <w:lang w:val="en-GB" w:eastAsia="en-GB"/>
              </w:rPr>
              <w:t>Foreign Contribution Health TZS</w:t>
            </w:r>
          </w:p>
        </w:tc>
        <w:tc>
          <w:tcPr>
            <w:tcW w:w="1760" w:type="dxa"/>
            <w:tcBorders>
              <w:top w:val="single" w:sz="4" w:space="0" w:color="auto"/>
              <w:left w:val="nil"/>
              <w:bottom w:val="double" w:sz="4" w:space="0" w:color="auto"/>
              <w:right w:val="single" w:sz="4" w:space="0" w:color="auto"/>
            </w:tcBorders>
            <w:shd w:val="clear" w:color="auto" w:fill="auto"/>
            <w:noWrap/>
            <w:vAlign w:val="bottom"/>
            <w:hideMark/>
          </w:tcPr>
          <w:p w:rsidR="0039298F" w:rsidRPr="0039298F" w:rsidRDefault="0039298F" w:rsidP="0039298F">
            <w:pPr>
              <w:spacing w:after="0" w:line="240" w:lineRule="auto"/>
              <w:rPr>
                <w:rFonts w:ascii="Calibri" w:eastAsia="Times New Roman" w:hAnsi="Calibri" w:cs="Calibri"/>
                <w:color w:val="000000"/>
                <w:lang w:val="en-GB" w:eastAsia="en-GB"/>
              </w:rPr>
            </w:pPr>
            <w:r w:rsidRPr="0039298F">
              <w:rPr>
                <w:rFonts w:ascii="Calibri" w:eastAsia="Times New Roman" w:hAnsi="Calibri" w:cs="Calibri"/>
                <w:color w:val="000000"/>
                <w:lang w:val="en-GB" w:eastAsia="en-GB"/>
              </w:rPr>
              <w:t xml:space="preserve">      471,946,000,000 </w:t>
            </w:r>
          </w:p>
        </w:tc>
        <w:tc>
          <w:tcPr>
            <w:tcW w:w="1703" w:type="dxa"/>
            <w:tcBorders>
              <w:top w:val="single" w:sz="4" w:space="0" w:color="auto"/>
              <w:left w:val="nil"/>
              <w:bottom w:val="double" w:sz="4" w:space="0" w:color="auto"/>
              <w:right w:val="single" w:sz="4" w:space="0" w:color="auto"/>
            </w:tcBorders>
            <w:shd w:val="clear" w:color="auto" w:fill="auto"/>
            <w:noWrap/>
            <w:vAlign w:val="bottom"/>
            <w:hideMark/>
          </w:tcPr>
          <w:p w:rsidR="0039298F" w:rsidRPr="0039298F" w:rsidRDefault="0039298F" w:rsidP="0039298F">
            <w:pPr>
              <w:spacing w:after="0" w:line="240" w:lineRule="auto"/>
              <w:rPr>
                <w:rFonts w:ascii="Calibri" w:eastAsia="Times New Roman" w:hAnsi="Calibri" w:cs="Calibri"/>
                <w:color w:val="000000"/>
                <w:lang w:val="en-GB" w:eastAsia="en-GB"/>
              </w:rPr>
            </w:pPr>
            <w:r w:rsidRPr="0039298F">
              <w:rPr>
                <w:rFonts w:ascii="Calibri" w:eastAsia="Times New Roman" w:hAnsi="Calibri" w:cs="Calibri"/>
                <w:color w:val="000000"/>
                <w:lang w:val="en-GB" w:eastAsia="en-GB"/>
              </w:rPr>
              <w:t xml:space="preserve">     381,606,915,171 </w:t>
            </w:r>
          </w:p>
        </w:tc>
        <w:tc>
          <w:tcPr>
            <w:tcW w:w="1799" w:type="dxa"/>
            <w:tcBorders>
              <w:top w:val="single" w:sz="4" w:space="0" w:color="auto"/>
              <w:left w:val="nil"/>
              <w:bottom w:val="double" w:sz="4" w:space="0" w:color="auto"/>
              <w:right w:val="single" w:sz="4" w:space="0" w:color="auto"/>
            </w:tcBorders>
            <w:shd w:val="clear" w:color="auto" w:fill="auto"/>
            <w:noWrap/>
            <w:vAlign w:val="bottom"/>
            <w:hideMark/>
          </w:tcPr>
          <w:p w:rsidR="0039298F" w:rsidRPr="0039298F" w:rsidRDefault="0039298F" w:rsidP="0039298F">
            <w:pPr>
              <w:spacing w:after="0" w:line="240" w:lineRule="auto"/>
              <w:rPr>
                <w:rFonts w:ascii="Calibri" w:eastAsia="Times New Roman" w:hAnsi="Calibri" w:cs="Calibri"/>
                <w:color w:val="000000"/>
                <w:lang w:val="en-GB" w:eastAsia="en-GB"/>
              </w:rPr>
            </w:pPr>
            <w:r w:rsidRPr="0039298F">
              <w:rPr>
                <w:rFonts w:ascii="Calibri" w:eastAsia="Times New Roman" w:hAnsi="Calibri" w:cs="Calibri"/>
                <w:color w:val="000000"/>
                <w:lang w:val="en-GB" w:eastAsia="en-GB"/>
              </w:rPr>
              <w:t xml:space="preserve">       587,370,279,135 </w:t>
            </w:r>
          </w:p>
        </w:tc>
      </w:tr>
      <w:tr w:rsidR="0039298F" w:rsidRPr="0039298F" w:rsidTr="004D6C2B">
        <w:trPr>
          <w:trHeight w:val="286"/>
        </w:trPr>
        <w:tc>
          <w:tcPr>
            <w:tcW w:w="3387" w:type="dxa"/>
            <w:tcBorders>
              <w:top w:val="double" w:sz="4" w:space="0" w:color="auto"/>
              <w:left w:val="single" w:sz="4" w:space="0" w:color="auto"/>
              <w:bottom w:val="single" w:sz="4" w:space="0" w:color="auto"/>
              <w:right w:val="single" w:sz="4" w:space="0" w:color="auto"/>
            </w:tcBorders>
            <w:shd w:val="clear" w:color="auto" w:fill="auto"/>
            <w:noWrap/>
            <w:vAlign w:val="bottom"/>
            <w:hideMark/>
          </w:tcPr>
          <w:p w:rsidR="0039298F" w:rsidRPr="0039298F" w:rsidRDefault="0039298F" w:rsidP="0039298F">
            <w:pPr>
              <w:spacing w:after="0" w:line="240" w:lineRule="auto"/>
              <w:rPr>
                <w:rFonts w:ascii="Calibri" w:eastAsia="Times New Roman" w:hAnsi="Calibri" w:cs="Calibri"/>
                <w:color w:val="000000"/>
                <w:lang w:val="en-GB" w:eastAsia="en-GB"/>
              </w:rPr>
            </w:pPr>
            <w:r w:rsidRPr="0039298F">
              <w:rPr>
                <w:rFonts w:ascii="Calibri" w:eastAsia="Times New Roman" w:hAnsi="Calibri" w:cs="Calibri"/>
                <w:color w:val="000000"/>
                <w:lang w:val="en-GB" w:eastAsia="en-GB"/>
              </w:rPr>
              <w:t>Local Health as a  % of Local GOT</w:t>
            </w:r>
          </w:p>
        </w:tc>
        <w:tc>
          <w:tcPr>
            <w:tcW w:w="1760" w:type="dxa"/>
            <w:tcBorders>
              <w:top w:val="double" w:sz="4" w:space="0" w:color="auto"/>
              <w:left w:val="nil"/>
              <w:bottom w:val="single" w:sz="4" w:space="0" w:color="auto"/>
              <w:right w:val="single" w:sz="4" w:space="0" w:color="auto"/>
            </w:tcBorders>
            <w:shd w:val="clear" w:color="auto" w:fill="auto"/>
            <w:noWrap/>
            <w:vAlign w:val="center"/>
            <w:hideMark/>
          </w:tcPr>
          <w:p w:rsidR="0039298F" w:rsidRPr="0039298F" w:rsidRDefault="0039298F" w:rsidP="0039298F">
            <w:pPr>
              <w:spacing w:after="0" w:line="240" w:lineRule="auto"/>
              <w:jc w:val="center"/>
              <w:rPr>
                <w:rFonts w:ascii="Calibri" w:eastAsia="Times New Roman" w:hAnsi="Calibri" w:cs="Calibri"/>
                <w:color w:val="000000"/>
                <w:lang w:val="en-GB" w:eastAsia="en-GB"/>
              </w:rPr>
            </w:pPr>
            <w:r w:rsidRPr="0039298F">
              <w:rPr>
                <w:rFonts w:ascii="Calibri" w:eastAsia="Times New Roman" w:hAnsi="Calibri" w:cs="Calibri"/>
                <w:color w:val="000000"/>
                <w:lang w:val="en-GB" w:eastAsia="en-GB"/>
              </w:rPr>
              <w:t>9%</w:t>
            </w:r>
          </w:p>
        </w:tc>
        <w:tc>
          <w:tcPr>
            <w:tcW w:w="1703" w:type="dxa"/>
            <w:tcBorders>
              <w:top w:val="double" w:sz="4" w:space="0" w:color="auto"/>
              <w:left w:val="nil"/>
              <w:bottom w:val="single" w:sz="4" w:space="0" w:color="auto"/>
              <w:right w:val="single" w:sz="4" w:space="0" w:color="auto"/>
            </w:tcBorders>
            <w:shd w:val="clear" w:color="auto" w:fill="auto"/>
            <w:noWrap/>
            <w:vAlign w:val="center"/>
            <w:hideMark/>
          </w:tcPr>
          <w:p w:rsidR="0039298F" w:rsidRPr="0039298F" w:rsidRDefault="0039298F" w:rsidP="0039298F">
            <w:pPr>
              <w:spacing w:after="0" w:line="240" w:lineRule="auto"/>
              <w:jc w:val="center"/>
              <w:rPr>
                <w:rFonts w:ascii="Calibri" w:eastAsia="Times New Roman" w:hAnsi="Calibri" w:cs="Calibri"/>
                <w:color w:val="000000"/>
                <w:lang w:val="en-GB" w:eastAsia="en-GB"/>
              </w:rPr>
            </w:pPr>
            <w:r w:rsidRPr="0039298F">
              <w:rPr>
                <w:rFonts w:ascii="Calibri" w:eastAsia="Times New Roman" w:hAnsi="Calibri" w:cs="Calibri"/>
                <w:color w:val="000000"/>
                <w:lang w:val="en-GB" w:eastAsia="en-GB"/>
              </w:rPr>
              <w:t>8%</w:t>
            </w:r>
          </w:p>
        </w:tc>
        <w:tc>
          <w:tcPr>
            <w:tcW w:w="1799" w:type="dxa"/>
            <w:tcBorders>
              <w:top w:val="double" w:sz="4" w:space="0" w:color="auto"/>
              <w:left w:val="nil"/>
              <w:bottom w:val="single" w:sz="4" w:space="0" w:color="auto"/>
              <w:right w:val="single" w:sz="4" w:space="0" w:color="auto"/>
            </w:tcBorders>
            <w:shd w:val="clear" w:color="auto" w:fill="auto"/>
            <w:noWrap/>
            <w:vAlign w:val="center"/>
            <w:hideMark/>
          </w:tcPr>
          <w:p w:rsidR="0039298F" w:rsidRPr="0039298F" w:rsidRDefault="0039298F" w:rsidP="0039298F">
            <w:pPr>
              <w:spacing w:after="0" w:line="240" w:lineRule="auto"/>
              <w:jc w:val="center"/>
              <w:rPr>
                <w:rFonts w:ascii="Calibri" w:eastAsia="Times New Roman" w:hAnsi="Calibri" w:cs="Calibri"/>
                <w:color w:val="000000"/>
                <w:lang w:val="en-GB" w:eastAsia="en-GB"/>
              </w:rPr>
            </w:pPr>
            <w:r w:rsidRPr="0039298F">
              <w:rPr>
                <w:rFonts w:ascii="Calibri" w:eastAsia="Times New Roman" w:hAnsi="Calibri" w:cs="Calibri"/>
                <w:color w:val="000000"/>
                <w:lang w:val="en-GB" w:eastAsia="en-GB"/>
              </w:rPr>
              <w:t>6%</w:t>
            </w:r>
          </w:p>
        </w:tc>
      </w:tr>
      <w:tr w:rsidR="0039298F" w:rsidRPr="0039298F" w:rsidTr="004D6C2B">
        <w:trPr>
          <w:trHeight w:val="286"/>
        </w:trPr>
        <w:tc>
          <w:tcPr>
            <w:tcW w:w="3387" w:type="dxa"/>
            <w:tcBorders>
              <w:top w:val="nil"/>
              <w:left w:val="single" w:sz="4" w:space="0" w:color="auto"/>
              <w:bottom w:val="double" w:sz="4" w:space="0" w:color="auto"/>
              <w:right w:val="single" w:sz="4" w:space="0" w:color="auto"/>
            </w:tcBorders>
            <w:shd w:val="clear" w:color="auto" w:fill="auto"/>
            <w:noWrap/>
            <w:vAlign w:val="bottom"/>
            <w:hideMark/>
          </w:tcPr>
          <w:p w:rsidR="0039298F" w:rsidRPr="0039298F" w:rsidRDefault="0039298F" w:rsidP="0039298F">
            <w:pPr>
              <w:spacing w:after="0" w:line="240" w:lineRule="auto"/>
              <w:rPr>
                <w:rFonts w:ascii="Calibri" w:eastAsia="Times New Roman" w:hAnsi="Calibri" w:cs="Calibri"/>
                <w:color w:val="000000"/>
                <w:lang w:val="en-GB" w:eastAsia="en-GB"/>
              </w:rPr>
            </w:pPr>
            <w:r w:rsidRPr="0039298F">
              <w:rPr>
                <w:rFonts w:ascii="Calibri" w:eastAsia="Times New Roman" w:hAnsi="Calibri" w:cs="Calibri"/>
                <w:color w:val="000000"/>
                <w:lang w:val="en-GB" w:eastAsia="en-GB"/>
              </w:rPr>
              <w:t>Foreign Health as a % of Foreign GOT</w:t>
            </w:r>
          </w:p>
        </w:tc>
        <w:tc>
          <w:tcPr>
            <w:tcW w:w="1760" w:type="dxa"/>
            <w:tcBorders>
              <w:top w:val="nil"/>
              <w:left w:val="nil"/>
              <w:bottom w:val="double" w:sz="4" w:space="0" w:color="auto"/>
              <w:right w:val="single" w:sz="4" w:space="0" w:color="auto"/>
            </w:tcBorders>
            <w:shd w:val="clear" w:color="auto" w:fill="auto"/>
            <w:noWrap/>
            <w:vAlign w:val="center"/>
            <w:hideMark/>
          </w:tcPr>
          <w:p w:rsidR="0039298F" w:rsidRPr="0039298F" w:rsidRDefault="0039298F" w:rsidP="0039298F">
            <w:pPr>
              <w:spacing w:after="0" w:line="240" w:lineRule="auto"/>
              <w:jc w:val="center"/>
              <w:rPr>
                <w:rFonts w:ascii="Calibri" w:eastAsia="Times New Roman" w:hAnsi="Calibri" w:cs="Calibri"/>
                <w:color w:val="000000"/>
                <w:lang w:val="en-GB" w:eastAsia="en-GB"/>
              </w:rPr>
            </w:pPr>
            <w:r w:rsidRPr="0039298F">
              <w:rPr>
                <w:rFonts w:ascii="Calibri" w:eastAsia="Times New Roman" w:hAnsi="Calibri" w:cs="Calibri"/>
                <w:color w:val="000000"/>
                <w:lang w:val="en-GB" w:eastAsia="en-GB"/>
              </w:rPr>
              <w:t>15%</w:t>
            </w:r>
          </w:p>
        </w:tc>
        <w:tc>
          <w:tcPr>
            <w:tcW w:w="1703" w:type="dxa"/>
            <w:tcBorders>
              <w:top w:val="nil"/>
              <w:left w:val="nil"/>
              <w:bottom w:val="double" w:sz="4" w:space="0" w:color="auto"/>
              <w:right w:val="single" w:sz="4" w:space="0" w:color="auto"/>
            </w:tcBorders>
            <w:shd w:val="clear" w:color="auto" w:fill="auto"/>
            <w:noWrap/>
            <w:vAlign w:val="center"/>
            <w:hideMark/>
          </w:tcPr>
          <w:p w:rsidR="0039298F" w:rsidRPr="0039298F" w:rsidRDefault="0039298F" w:rsidP="0039298F">
            <w:pPr>
              <w:spacing w:after="0" w:line="240" w:lineRule="auto"/>
              <w:jc w:val="center"/>
              <w:rPr>
                <w:rFonts w:ascii="Calibri" w:eastAsia="Times New Roman" w:hAnsi="Calibri" w:cs="Calibri"/>
                <w:color w:val="000000"/>
                <w:lang w:val="en-GB" w:eastAsia="en-GB"/>
              </w:rPr>
            </w:pPr>
            <w:r w:rsidRPr="0039298F">
              <w:rPr>
                <w:rFonts w:ascii="Calibri" w:eastAsia="Times New Roman" w:hAnsi="Calibri" w:cs="Calibri"/>
                <w:color w:val="000000"/>
                <w:lang w:val="en-GB" w:eastAsia="en-GB"/>
              </w:rPr>
              <w:t>17%</w:t>
            </w:r>
          </w:p>
        </w:tc>
        <w:tc>
          <w:tcPr>
            <w:tcW w:w="1799" w:type="dxa"/>
            <w:tcBorders>
              <w:top w:val="nil"/>
              <w:left w:val="nil"/>
              <w:bottom w:val="double" w:sz="4" w:space="0" w:color="auto"/>
              <w:right w:val="single" w:sz="4" w:space="0" w:color="auto"/>
            </w:tcBorders>
            <w:shd w:val="clear" w:color="auto" w:fill="auto"/>
            <w:noWrap/>
            <w:vAlign w:val="center"/>
            <w:hideMark/>
          </w:tcPr>
          <w:p w:rsidR="0039298F" w:rsidRPr="0039298F" w:rsidRDefault="0039298F" w:rsidP="0039298F">
            <w:pPr>
              <w:spacing w:after="0" w:line="240" w:lineRule="auto"/>
              <w:jc w:val="center"/>
              <w:rPr>
                <w:rFonts w:ascii="Calibri" w:eastAsia="Times New Roman" w:hAnsi="Calibri" w:cs="Calibri"/>
                <w:color w:val="000000"/>
                <w:lang w:val="en-GB" w:eastAsia="en-GB"/>
              </w:rPr>
            </w:pPr>
            <w:r w:rsidRPr="0039298F">
              <w:rPr>
                <w:rFonts w:ascii="Calibri" w:eastAsia="Times New Roman" w:hAnsi="Calibri" w:cs="Calibri"/>
                <w:color w:val="000000"/>
                <w:lang w:val="en-GB" w:eastAsia="en-GB"/>
              </w:rPr>
              <w:t>22%</w:t>
            </w:r>
          </w:p>
        </w:tc>
      </w:tr>
      <w:tr w:rsidR="0039298F" w:rsidRPr="0039298F" w:rsidTr="004D6C2B">
        <w:trPr>
          <w:trHeight w:val="286"/>
        </w:trPr>
        <w:tc>
          <w:tcPr>
            <w:tcW w:w="3387" w:type="dxa"/>
            <w:tcBorders>
              <w:top w:val="double" w:sz="4" w:space="0" w:color="auto"/>
              <w:left w:val="single" w:sz="4" w:space="0" w:color="auto"/>
              <w:bottom w:val="single" w:sz="4" w:space="0" w:color="auto"/>
              <w:right w:val="single" w:sz="4" w:space="0" w:color="auto"/>
            </w:tcBorders>
            <w:shd w:val="clear" w:color="auto" w:fill="auto"/>
            <w:noWrap/>
            <w:vAlign w:val="bottom"/>
            <w:hideMark/>
          </w:tcPr>
          <w:p w:rsidR="0039298F" w:rsidRPr="0039298F" w:rsidRDefault="0039298F" w:rsidP="0039298F">
            <w:pPr>
              <w:spacing w:after="0" w:line="240" w:lineRule="auto"/>
              <w:rPr>
                <w:rFonts w:ascii="Calibri" w:eastAsia="Times New Roman" w:hAnsi="Calibri" w:cs="Calibri"/>
                <w:color w:val="000000"/>
                <w:lang w:val="en-GB" w:eastAsia="en-GB"/>
              </w:rPr>
            </w:pPr>
            <w:r w:rsidRPr="0039298F">
              <w:rPr>
                <w:rFonts w:ascii="Calibri" w:eastAsia="Times New Roman" w:hAnsi="Calibri" w:cs="Calibri"/>
                <w:color w:val="000000"/>
                <w:lang w:val="en-GB" w:eastAsia="en-GB"/>
              </w:rPr>
              <w:t>Foreign Share Health</w:t>
            </w:r>
          </w:p>
        </w:tc>
        <w:tc>
          <w:tcPr>
            <w:tcW w:w="1760" w:type="dxa"/>
            <w:tcBorders>
              <w:top w:val="double" w:sz="4" w:space="0" w:color="auto"/>
              <w:left w:val="nil"/>
              <w:bottom w:val="single" w:sz="4" w:space="0" w:color="auto"/>
              <w:right w:val="single" w:sz="4" w:space="0" w:color="auto"/>
            </w:tcBorders>
            <w:shd w:val="clear" w:color="auto" w:fill="auto"/>
            <w:noWrap/>
            <w:vAlign w:val="center"/>
            <w:hideMark/>
          </w:tcPr>
          <w:p w:rsidR="0039298F" w:rsidRPr="0039298F" w:rsidRDefault="0039298F" w:rsidP="0039298F">
            <w:pPr>
              <w:spacing w:after="0" w:line="240" w:lineRule="auto"/>
              <w:jc w:val="center"/>
              <w:rPr>
                <w:rFonts w:ascii="Calibri" w:eastAsia="Times New Roman" w:hAnsi="Calibri" w:cs="Calibri"/>
                <w:color w:val="000000"/>
                <w:lang w:val="en-GB" w:eastAsia="en-GB"/>
              </w:rPr>
            </w:pPr>
            <w:r w:rsidRPr="0039298F">
              <w:rPr>
                <w:rFonts w:ascii="Calibri" w:eastAsia="Times New Roman" w:hAnsi="Calibri" w:cs="Calibri"/>
                <w:color w:val="000000"/>
                <w:lang w:val="en-GB" w:eastAsia="en-GB"/>
              </w:rPr>
              <w:t>41%</w:t>
            </w:r>
          </w:p>
        </w:tc>
        <w:tc>
          <w:tcPr>
            <w:tcW w:w="1703" w:type="dxa"/>
            <w:tcBorders>
              <w:top w:val="double" w:sz="4" w:space="0" w:color="auto"/>
              <w:left w:val="nil"/>
              <w:bottom w:val="single" w:sz="4" w:space="0" w:color="auto"/>
              <w:right w:val="single" w:sz="4" w:space="0" w:color="auto"/>
            </w:tcBorders>
            <w:shd w:val="clear" w:color="auto" w:fill="auto"/>
            <w:noWrap/>
            <w:vAlign w:val="center"/>
            <w:hideMark/>
          </w:tcPr>
          <w:p w:rsidR="0039298F" w:rsidRPr="0039298F" w:rsidRDefault="0039298F" w:rsidP="0039298F">
            <w:pPr>
              <w:spacing w:after="0" w:line="240" w:lineRule="auto"/>
              <w:jc w:val="center"/>
              <w:rPr>
                <w:rFonts w:ascii="Calibri" w:eastAsia="Times New Roman" w:hAnsi="Calibri" w:cs="Calibri"/>
                <w:color w:val="000000"/>
                <w:lang w:val="en-GB" w:eastAsia="en-GB"/>
              </w:rPr>
            </w:pPr>
            <w:r w:rsidRPr="0039298F">
              <w:rPr>
                <w:rFonts w:ascii="Calibri" w:eastAsia="Times New Roman" w:hAnsi="Calibri" w:cs="Calibri"/>
                <w:color w:val="000000"/>
                <w:lang w:val="en-GB" w:eastAsia="en-GB"/>
              </w:rPr>
              <w:t>30%</w:t>
            </w:r>
          </w:p>
        </w:tc>
        <w:tc>
          <w:tcPr>
            <w:tcW w:w="1799" w:type="dxa"/>
            <w:tcBorders>
              <w:top w:val="double" w:sz="4" w:space="0" w:color="auto"/>
              <w:left w:val="nil"/>
              <w:bottom w:val="single" w:sz="4" w:space="0" w:color="auto"/>
              <w:right w:val="single" w:sz="4" w:space="0" w:color="auto"/>
            </w:tcBorders>
            <w:shd w:val="clear" w:color="auto" w:fill="auto"/>
            <w:noWrap/>
            <w:vAlign w:val="center"/>
            <w:hideMark/>
          </w:tcPr>
          <w:p w:rsidR="0039298F" w:rsidRPr="0039298F" w:rsidRDefault="0039298F" w:rsidP="0039298F">
            <w:pPr>
              <w:spacing w:after="0" w:line="240" w:lineRule="auto"/>
              <w:jc w:val="center"/>
              <w:rPr>
                <w:rFonts w:ascii="Calibri" w:eastAsia="Times New Roman" w:hAnsi="Calibri" w:cs="Calibri"/>
                <w:color w:val="000000"/>
                <w:lang w:val="en-GB" w:eastAsia="en-GB"/>
              </w:rPr>
            </w:pPr>
            <w:r w:rsidRPr="0039298F">
              <w:rPr>
                <w:rFonts w:ascii="Calibri" w:eastAsia="Times New Roman" w:hAnsi="Calibri" w:cs="Calibri"/>
                <w:color w:val="000000"/>
                <w:lang w:val="en-GB" w:eastAsia="en-GB"/>
              </w:rPr>
              <w:t>40%</w:t>
            </w:r>
          </w:p>
        </w:tc>
      </w:tr>
      <w:tr w:rsidR="0039298F" w:rsidRPr="0039298F" w:rsidTr="004D6C2B">
        <w:trPr>
          <w:trHeight w:val="286"/>
        </w:trPr>
        <w:tc>
          <w:tcPr>
            <w:tcW w:w="3387" w:type="dxa"/>
            <w:tcBorders>
              <w:top w:val="single" w:sz="4" w:space="0" w:color="auto"/>
              <w:left w:val="single" w:sz="4" w:space="0" w:color="auto"/>
              <w:bottom w:val="double" w:sz="4" w:space="0" w:color="auto"/>
              <w:right w:val="single" w:sz="4" w:space="0" w:color="auto"/>
            </w:tcBorders>
            <w:shd w:val="clear" w:color="auto" w:fill="auto"/>
            <w:noWrap/>
            <w:vAlign w:val="bottom"/>
            <w:hideMark/>
          </w:tcPr>
          <w:p w:rsidR="0039298F" w:rsidRPr="0039298F" w:rsidRDefault="0039298F" w:rsidP="0039298F">
            <w:pPr>
              <w:spacing w:after="0" w:line="240" w:lineRule="auto"/>
              <w:rPr>
                <w:rFonts w:ascii="Calibri" w:eastAsia="Times New Roman" w:hAnsi="Calibri" w:cs="Calibri"/>
                <w:color w:val="000000"/>
                <w:lang w:val="en-GB" w:eastAsia="en-GB"/>
              </w:rPr>
            </w:pPr>
            <w:r w:rsidRPr="0039298F">
              <w:rPr>
                <w:rFonts w:ascii="Calibri" w:eastAsia="Times New Roman" w:hAnsi="Calibri" w:cs="Calibri"/>
                <w:color w:val="000000"/>
                <w:lang w:val="en-GB" w:eastAsia="en-GB"/>
              </w:rPr>
              <w:t>Local Share Health</w:t>
            </w:r>
          </w:p>
        </w:tc>
        <w:tc>
          <w:tcPr>
            <w:tcW w:w="1760" w:type="dxa"/>
            <w:tcBorders>
              <w:top w:val="single" w:sz="4" w:space="0" w:color="auto"/>
              <w:left w:val="nil"/>
              <w:bottom w:val="double" w:sz="4" w:space="0" w:color="auto"/>
              <w:right w:val="single" w:sz="4" w:space="0" w:color="auto"/>
            </w:tcBorders>
            <w:shd w:val="clear" w:color="auto" w:fill="auto"/>
            <w:noWrap/>
            <w:vAlign w:val="center"/>
            <w:hideMark/>
          </w:tcPr>
          <w:p w:rsidR="0039298F" w:rsidRPr="0039298F" w:rsidRDefault="0039298F" w:rsidP="0039298F">
            <w:pPr>
              <w:spacing w:after="0" w:line="240" w:lineRule="auto"/>
              <w:jc w:val="center"/>
              <w:rPr>
                <w:rFonts w:ascii="Calibri" w:eastAsia="Times New Roman" w:hAnsi="Calibri" w:cs="Calibri"/>
                <w:color w:val="000000"/>
                <w:lang w:val="en-GB" w:eastAsia="en-GB"/>
              </w:rPr>
            </w:pPr>
            <w:r w:rsidRPr="0039298F">
              <w:rPr>
                <w:rFonts w:ascii="Calibri" w:eastAsia="Times New Roman" w:hAnsi="Calibri" w:cs="Calibri"/>
                <w:color w:val="000000"/>
                <w:lang w:val="en-GB" w:eastAsia="en-GB"/>
              </w:rPr>
              <w:t>59%</w:t>
            </w:r>
          </w:p>
        </w:tc>
        <w:tc>
          <w:tcPr>
            <w:tcW w:w="1703" w:type="dxa"/>
            <w:tcBorders>
              <w:top w:val="single" w:sz="4" w:space="0" w:color="auto"/>
              <w:left w:val="nil"/>
              <w:bottom w:val="double" w:sz="4" w:space="0" w:color="auto"/>
              <w:right w:val="single" w:sz="4" w:space="0" w:color="auto"/>
            </w:tcBorders>
            <w:shd w:val="clear" w:color="auto" w:fill="auto"/>
            <w:noWrap/>
            <w:vAlign w:val="center"/>
            <w:hideMark/>
          </w:tcPr>
          <w:p w:rsidR="0039298F" w:rsidRPr="0039298F" w:rsidRDefault="0039298F" w:rsidP="0039298F">
            <w:pPr>
              <w:spacing w:after="0" w:line="240" w:lineRule="auto"/>
              <w:jc w:val="center"/>
              <w:rPr>
                <w:rFonts w:ascii="Calibri" w:eastAsia="Times New Roman" w:hAnsi="Calibri" w:cs="Calibri"/>
                <w:color w:val="000000"/>
                <w:lang w:val="en-GB" w:eastAsia="en-GB"/>
              </w:rPr>
            </w:pPr>
            <w:r w:rsidRPr="0039298F">
              <w:rPr>
                <w:rFonts w:ascii="Calibri" w:eastAsia="Times New Roman" w:hAnsi="Calibri" w:cs="Calibri"/>
                <w:color w:val="000000"/>
                <w:lang w:val="en-GB" w:eastAsia="en-GB"/>
              </w:rPr>
              <w:t>70%</w:t>
            </w:r>
          </w:p>
        </w:tc>
        <w:tc>
          <w:tcPr>
            <w:tcW w:w="1799" w:type="dxa"/>
            <w:tcBorders>
              <w:top w:val="single" w:sz="4" w:space="0" w:color="auto"/>
              <w:left w:val="nil"/>
              <w:bottom w:val="double" w:sz="4" w:space="0" w:color="auto"/>
              <w:right w:val="single" w:sz="4" w:space="0" w:color="auto"/>
            </w:tcBorders>
            <w:shd w:val="clear" w:color="auto" w:fill="auto"/>
            <w:noWrap/>
            <w:vAlign w:val="center"/>
            <w:hideMark/>
          </w:tcPr>
          <w:p w:rsidR="0039298F" w:rsidRPr="0039298F" w:rsidRDefault="0039298F" w:rsidP="0039298F">
            <w:pPr>
              <w:spacing w:after="0" w:line="240" w:lineRule="auto"/>
              <w:jc w:val="center"/>
              <w:rPr>
                <w:rFonts w:ascii="Calibri" w:eastAsia="Times New Roman" w:hAnsi="Calibri" w:cs="Calibri"/>
                <w:color w:val="000000"/>
                <w:lang w:val="en-GB" w:eastAsia="en-GB"/>
              </w:rPr>
            </w:pPr>
            <w:r w:rsidRPr="0039298F">
              <w:rPr>
                <w:rFonts w:ascii="Calibri" w:eastAsia="Times New Roman" w:hAnsi="Calibri" w:cs="Calibri"/>
                <w:color w:val="000000"/>
                <w:lang w:val="en-GB" w:eastAsia="en-GB"/>
              </w:rPr>
              <w:t>60%</w:t>
            </w:r>
          </w:p>
        </w:tc>
      </w:tr>
      <w:tr w:rsidR="0039298F" w:rsidRPr="0039298F" w:rsidTr="004D6C2B">
        <w:trPr>
          <w:trHeight w:val="286"/>
        </w:trPr>
        <w:tc>
          <w:tcPr>
            <w:tcW w:w="3387" w:type="dxa"/>
            <w:tcBorders>
              <w:top w:val="double" w:sz="4" w:space="0" w:color="auto"/>
              <w:left w:val="single" w:sz="4" w:space="0" w:color="auto"/>
              <w:bottom w:val="single" w:sz="4" w:space="0" w:color="auto"/>
              <w:right w:val="single" w:sz="4" w:space="0" w:color="auto"/>
            </w:tcBorders>
            <w:shd w:val="clear" w:color="auto" w:fill="auto"/>
            <w:noWrap/>
            <w:vAlign w:val="bottom"/>
            <w:hideMark/>
          </w:tcPr>
          <w:p w:rsidR="0039298F" w:rsidRPr="0039298F" w:rsidRDefault="0039298F" w:rsidP="0039298F">
            <w:pPr>
              <w:spacing w:after="0" w:line="240" w:lineRule="auto"/>
              <w:rPr>
                <w:rFonts w:ascii="Calibri" w:eastAsia="Times New Roman" w:hAnsi="Calibri" w:cs="Calibri"/>
                <w:color w:val="000000"/>
                <w:lang w:val="en-GB" w:eastAsia="en-GB"/>
              </w:rPr>
            </w:pPr>
            <w:r w:rsidRPr="0039298F">
              <w:rPr>
                <w:rFonts w:ascii="Calibri" w:eastAsia="Times New Roman" w:hAnsi="Calibri" w:cs="Calibri"/>
                <w:color w:val="000000"/>
                <w:lang w:val="en-GB" w:eastAsia="en-GB"/>
              </w:rPr>
              <w:t>Foreign Share GOT</w:t>
            </w:r>
            <w:r w:rsidR="004D6C2B">
              <w:rPr>
                <w:rFonts w:ascii="Calibri" w:eastAsia="Times New Roman" w:hAnsi="Calibri" w:cs="Calibri"/>
                <w:color w:val="000000"/>
                <w:lang w:val="en-GB" w:eastAsia="en-GB"/>
              </w:rPr>
              <w:t xml:space="preserve"> overall</w:t>
            </w:r>
          </w:p>
        </w:tc>
        <w:tc>
          <w:tcPr>
            <w:tcW w:w="1760" w:type="dxa"/>
            <w:tcBorders>
              <w:top w:val="double" w:sz="4" w:space="0" w:color="auto"/>
              <w:left w:val="nil"/>
              <w:bottom w:val="single" w:sz="4" w:space="0" w:color="auto"/>
              <w:right w:val="single" w:sz="4" w:space="0" w:color="auto"/>
            </w:tcBorders>
            <w:shd w:val="clear" w:color="auto" w:fill="auto"/>
            <w:noWrap/>
            <w:vAlign w:val="center"/>
            <w:hideMark/>
          </w:tcPr>
          <w:p w:rsidR="0039298F" w:rsidRPr="0039298F" w:rsidRDefault="0039298F" w:rsidP="0039298F">
            <w:pPr>
              <w:spacing w:after="0" w:line="240" w:lineRule="auto"/>
              <w:jc w:val="center"/>
              <w:rPr>
                <w:rFonts w:ascii="Calibri" w:eastAsia="Times New Roman" w:hAnsi="Calibri" w:cs="Calibri"/>
                <w:color w:val="000000"/>
                <w:lang w:val="en-GB" w:eastAsia="en-GB"/>
              </w:rPr>
            </w:pPr>
            <w:r w:rsidRPr="0039298F">
              <w:rPr>
                <w:rFonts w:ascii="Calibri" w:eastAsia="Times New Roman" w:hAnsi="Calibri" w:cs="Calibri"/>
                <w:color w:val="000000"/>
                <w:lang w:val="en-GB" w:eastAsia="en-GB"/>
              </w:rPr>
              <w:t>28%</w:t>
            </w:r>
          </w:p>
        </w:tc>
        <w:tc>
          <w:tcPr>
            <w:tcW w:w="1703" w:type="dxa"/>
            <w:tcBorders>
              <w:top w:val="double" w:sz="4" w:space="0" w:color="auto"/>
              <w:left w:val="nil"/>
              <w:bottom w:val="single" w:sz="4" w:space="0" w:color="auto"/>
              <w:right w:val="single" w:sz="4" w:space="0" w:color="auto"/>
            </w:tcBorders>
            <w:shd w:val="clear" w:color="auto" w:fill="auto"/>
            <w:noWrap/>
            <w:vAlign w:val="center"/>
            <w:hideMark/>
          </w:tcPr>
          <w:p w:rsidR="0039298F" w:rsidRPr="0039298F" w:rsidRDefault="0039298F" w:rsidP="0039298F">
            <w:pPr>
              <w:spacing w:after="0" w:line="240" w:lineRule="auto"/>
              <w:jc w:val="center"/>
              <w:rPr>
                <w:rFonts w:ascii="Calibri" w:eastAsia="Times New Roman" w:hAnsi="Calibri" w:cs="Calibri"/>
                <w:color w:val="000000"/>
                <w:lang w:val="en-GB" w:eastAsia="en-GB"/>
              </w:rPr>
            </w:pPr>
            <w:r w:rsidRPr="0039298F">
              <w:rPr>
                <w:rFonts w:ascii="Calibri" w:eastAsia="Times New Roman" w:hAnsi="Calibri" w:cs="Calibri"/>
                <w:color w:val="000000"/>
                <w:lang w:val="en-GB" w:eastAsia="en-GB"/>
              </w:rPr>
              <w:t>18%</w:t>
            </w:r>
          </w:p>
        </w:tc>
        <w:tc>
          <w:tcPr>
            <w:tcW w:w="1799" w:type="dxa"/>
            <w:tcBorders>
              <w:top w:val="double" w:sz="4" w:space="0" w:color="auto"/>
              <w:left w:val="nil"/>
              <w:bottom w:val="single" w:sz="4" w:space="0" w:color="auto"/>
              <w:right w:val="single" w:sz="4" w:space="0" w:color="auto"/>
            </w:tcBorders>
            <w:shd w:val="clear" w:color="auto" w:fill="auto"/>
            <w:noWrap/>
            <w:vAlign w:val="center"/>
            <w:hideMark/>
          </w:tcPr>
          <w:p w:rsidR="0039298F" w:rsidRPr="0039298F" w:rsidRDefault="0039298F" w:rsidP="0039298F">
            <w:pPr>
              <w:spacing w:after="0" w:line="240" w:lineRule="auto"/>
              <w:jc w:val="center"/>
              <w:rPr>
                <w:rFonts w:ascii="Calibri" w:eastAsia="Times New Roman" w:hAnsi="Calibri" w:cs="Calibri"/>
                <w:color w:val="000000"/>
                <w:lang w:val="en-GB" w:eastAsia="en-GB"/>
              </w:rPr>
            </w:pPr>
            <w:r w:rsidRPr="0039298F">
              <w:rPr>
                <w:rFonts w:ascii="Calibri" w:eastAsia="Times New Roman" w:hAnsi="Calibri" w:cs="Calibri"/>
                <w:color w:val="000000"/>
                <w:lang w:val="en-GB" w:eastAsia="en-GB"/>
              </w:rPr>
              <w:t>16%</w:t>
            </w:r>
          </w:p>
        </w:tc>
      </w:tr>
      <w:tr w:rsidR="0039298F" w:rsidRPr="0039298F" w:rsidTr="00ED1790">
        <w:trPr>
          <w:trHeight w:val="286"/>
        </w:trPr>
        <w:tc>
          <w:tcPr>
            <w:tcW w:w="3387" w:type="dxa"/>
            <w:tcBorders>
              <w:top w:val="nil"/>
              <w:left w:val="single" w:sz="4" w:space="0" w:color="auto"/>
              <w:bottom w:val="single" w:sz="4" w:space="0" w:color="auto"/>
              <w:right w:val="single" w:sz="4" w:space="0" w:color="auto"/>
            </w:tcBorders>
            <w:shd w:val="clear" w:color="auto" w:fill="auto"/>
            <w:noWrap/>
            <w:vAlign w:val="bottom"/>
            <w:hideMark/>
          </w:tcPr>
          <w:p w:rsidR="0039298F" w:rsidRPr="0039298F" w:rsidRDefault="0039298F" w:rsidP="0039298F">
            <w:pPr>
              <w:spacing w:after="0" w:line="240" w:lineRule="auto"/>
              <w:rPr>
                <w:rFonts w:ascii="Calibri" w:eastAsia="Times New Roman" w:hAnsi="Calibri" w:cs="Calibri"/>
                <w:color w:val="000000"/>
                <w:lang w:val="en-GB" w:eastAsia="en-GB"/>
              </w:rPr>
            </w:pPr>
            <w:r w:rsidRPr="0039298F">
              <w:rPr>
                <w:rFonts w:ascii="Calibri" w:eastAsia="Times New Roman" w:hAnsi="Calibri" w:cs="Calibri"/>
                <w:color w:val="000000"/>
                <w:lang w:val="en-GB" w:eastAsia="en-GB"/>
              </w:rPr>
              <w:t>Local Share GOT</w:t>
            </w:r>
            <w:r w:rsidR="004D6C2B">
              <w:rPr>
                <w:rFonts w:ascii="Calibri" w:eastAsia="Times New Roman" w:hAnsi="Calibri" w:cs="Calibri"/>
                <w:color w:val="000000"/>
                <w:lang w:val="en-GB" w:eastAsia="en-GB"/>
              </w:rPr>
              <w:t xml:space="preserve"> overall</w:t>
            </w:r>
          </w:p>
        </w:tc>
        <w:tc>
          <w:tcPr>
            <w:tcW w:w="1760" w:type="dxa"/>
            <w:tcBorders>
              <w:top w:val="nil"/>
              <w:left w:val="nil"/>
              <w:bottom w:val="single" w:sz="4" w:space="0" w:color="auto"/>
              <w:right w:val="single" w:sz="4" w:space="0" w:color="auto"/>
            </w:tcBorders>
            <w:shd w:val="clear" w:color="auto" w:fill="auto"/>
            <w:noWrap/>
            <w:vAlign w:val="center"/>
            <w:hideMark/>
          </w:tcPr>
          <w:p w:rsidR="0039298F" w:rsidRPr="0039298F" w:rsidRDefault="0039298F" w:rsidP="0039298F">
            <w:pPr>
              <w:spacing w:after="0" w:line="240" w:lineRule="auto"/>
              <w:jc w:val="center"/>
              <w:rPr>
                <w:rFonts w:ascii="Calibri" w:eastAsia="Times New Roman" w:hAnsi="Calibri" w:cs="Calibri"/>
                <w:color w:val="000000"/>
                <w:lang w:val="en-GB" w:eastAsia="en-GB"/>
              </w:rPr>
            </w:pPr>
            <w:r w:rsidRPr="0039298F">
              <w:rPr>
                <w:rFonts w:ascii="Calibri" w:eastAsia="Times New Roman" w:hAnsi="Calibri" w:cs="Calibri"/>
                <w:color w:val="000000"/>
                <w:lang w:val="en-GB" w:eastAsia="en-GB"/>
              </w:rPr>
              <w:t>72%</w:t>
            </w:r>
          </w:p>
        </w:tc>
        <w:tc>
          <w:tcPr>
            <w:tcW w:w="1703" w:type="dxa"/>
            <w:tcBorders>
              <w:top w:val="nil"/>
              <w:left w:val="nil"/>
              <w:bottom w:val="single" w:sz="4" w:space="0" w:color="auto"/>
              <w:right w:val="single" w:sz="4" w:space="0" w:color="auto"/>
            </w:tcBorders>
            <w:shd w:val="clear" w:color="auto" w:fill="auto"/>
            <w:noWrap/>
            <w:vAlign w:val="center"/>
            <w:hideMark/>
          </w:tcPr>
          <w:p w:rsidR="0039298F" w:rsidRPr="0039298F" w:rsidRDefault="0039298F" w:rsidP="0039298F">
            <w:pPr>
              <w:spacing w:after="0" w:line="240" w:lineRule="auto"/>
              <w:jc w:val="center"/>
              <w:rPr>
                <w:rFonts w:ascii="Calibri" w:eastAsia="Times New Roman" w:hAnsi="Calibri" w:cs="Calibri"/>
                <w:color w:val="000000"/>
                <w:lang w:val="en-GB" w:eastAsia="en-GB"/>
              </w:rPr>
            </w:pPr>
            <w:r w:rsidRPr="0039298F">
              <w:rPr>
                <w:rFonts w:ascii="Calibri" w:eastAsia="Times New Roman" w:hAnsi="Calibri" w:cs="Calibri"/>
                <w:color w:val="000000"/>
                <w:lang w:val="en-GB" w:eastAsia="en-GB"/>
              </w:rPr>
              <w:t>82%</w:t>
            </w:r>
          </w:p>
        </w:tc>
        <w:tc>
          <w:tcPr>
            <w:tcW w:w="1799" w:type="dxa"/>
            <w:tcBorders>
              <w:top w:val="nil"/>
              <w:left w:val="nil"/>
              <w:bottom w:val="single" w:sz="4" w:space="0" w:color="auto"/>
              <w:right w:val="single" w:sz="4" w:space="0" w:color="auto"/>
            </w:tcBorders>
            <w:shd w:val="clear" w:color="auto" w:fill="auto"/>
            <w:noWrap/>
            <w:vAlign w:val="center"/>
            <w:hideMark/>
          </w:tcPr>
          <w:p w:rsidR="0039298F" w:rsidRPr="0039298F" w:rsidRDefault="0039298F" w:rsidP="0039298F">
            <w:pPr>
              <w:spacing w:after="0" w:line="240" w:lineRule="auto"/>
              <w:jc w:val="center"/>
              <w:rPr>
                <w:rFonts w:ascii="Calibri" w:eastAsia="Times New Roman" w:hAnsi="Calibri" w:cs="Calibri"/>
                <w:color w:val="000000"/>
                <w:lang w:val="en-GB" w:eastAsia="en-GB"/>
              </w:rPr>
            </w:pPr>
            <w:r w:rsidRPr="0039298F">
              <w:rPr>
                <w:rFonts w:ascii="Calibri" w:eastAsia="Times New Roman" w:hAnsi="Calibri" w:cs="Calibri"/>
                <w:color w:val="000000"/>
                <w:lang w:val="en-GB" w:eastAsia="en-GB"/>
              </w:rPr>
              <w:t>84%</w:t>
            </w:r>
          </w:p>
        </w:tc>
      </w:tr>
      <w:tr w:rsidR="0039298F" w:rsidRPr="0039298F" w:rsidTr="00ED1790">
        <w:trPr>
          <w:trHeight w:val="286"/>
        </w:trPr>
        <w:tc>
          <w:tcPr>
            <w:tcW w:w="3387" w:type="dxa"/>
            <w:tcBorders>
              <w:top w:val="nil"/>
              <w:left w:val="nil"/>
              <w:bottom w:val="nil"/>
              <w:right w:val="nil"/>
            </w:tcBorders>
            <w:shd w:val="clear" w:color="auto" w:fill="auto"/>
            <w:noWrap/>
            <w:vAlign w:val="bottom"/>
            <w:hideMark/>
          </w:tcPr>
          <w:p w:rsidR="0039298F" w:rsidRPr="0039298F" w:rsidRDefault="0039298F" w:rsidP="0039298F">
            <w:pPr>
              <w:spacing w:after="0" w:line="240" w:lineRule="auto"/>
              <w:rPr>
                <w:rFonts w:ascii="Calibri" w:eastAsia="Times New Roman" w:hAnsi="Calibri" w:cs="Calibri"/>
                <w:color w:val="000000"/>
                <w:lang w:val="en-GB" w:eastAsia="en-GB"/>
              </w:rPr>
            </w:pPr>
          </w:p>
        </w:tc>
        <w:tc>
          <w:tcPr>
            <w:tcW w:w="1760" w:type="dxa"/>
            <w:tcBorders>
              <w:top w:val="nil"/>
              <w:left w:val="nil"/>
              <w:bottom w:val="nil"/>
              <w:right w:val="nil"/>
            </w:tcBorders>
            <w:shd w:val="clear" w:color="auto" w:fill="auto"/>
            <w:noWrap/>
            <w:vAlign w:val="bottom"/>
            <w:hideMark/>
          </w:tcPr>
          <w:p w:rsidR="0039298F" w:rsidRPr="0039298F" w:rsidRDefault="0039298F" w:rsidP="0039298F">
            <w:pPr>
              <w:spacing w:after="0" w:line="240" w:lineRule="auto"/>
              <w:rPr>
                <w:rFonts w:ascii="Calibri" w:eastAsia="Times New Roman" w:hAnsi="Calibri" w:cs="Calibri"/>
                <w:color w:val="000000"/>
                <w:lang w:val="en-GB" w:eastAsia="en-GB"/>
              </w:rPr>
            </w:pPr>
          </w:p>
        </w:tc>
        <w:tc>
          <w:tcPr>
            <w:tcW w:w="1703" w:type="dxa"/>
            <w:tcBorders>
              <w:top w:val="nil"/>
              <w:left w:val="nil"/>
              <w:bottom w:val="nil"/>
              <w:right w:val="nil"/>
            </w:tcBorders>
            <w:shd w:val="clear" w:color="auto" w:fill="auto"/>
            <w:noWrap/>
            <w:vAlign w:val="bottom"/>
            <w:hideMark/>
          </w:tcPr>
          <w:p w:rsidR="0039298F" w:rsidRPr="0039298F" w:rsidRDefault="0039298F" w:rsidP="0039298F">
            <w:pPr>
              <w:spacing w:after="0" w:line="240" w:lineRule="auto"/>
              <w:rPr>
                <w:rFonts w:ascii="Calibri" w:eastAsia="Times New Roman" w:hAnsi="Calibri" w:cs="Calibri"/>
                <w:color w:val="000000"/>
                <w:lang w:val="en-GB" w:eastAsia="en-GB"/>
              </w:rPr>
            </w:pPr>
          </w:p>
        </w:tc>
        <w:tc>
          <w:tcPr>
            <w:tcW w:w="1799" w:type="dxa"/>
            <w:tcBorders>
              <w:top w:val="nil"/>
              <w:left w:val="nil"/>
              <w:bottom w:val="nil"/>
              <w:right w:val="nil"/>
            </w:tcBorders>
            <w:shd w:val="clear" w:color="auto" w:fill="auto"/>
            <w:noWrap/>
            <w:vAlign w:val="bottom"/>
            <w:hideMark/>
          </w:tcPr>
          <w:p w:rsidR="0039298F" w:rsidRPr="0039298F" w:rsidRDefault="0039298F" w:rsidP="0039298F">
            <w:pPr>
              <w:spacing w:after="0" w:line="240" w:lineRule="auto"/>
              <w:rPr>
                <w:rFonts w:ascii="Calibri" w:eastAsia="Times New Roman" w:hAnsi="Calibri" w:cs="Calibri"/>
                <w:color w:val="000000"/>
                <w:lang w:val="en-GB" w:eastAsia="en-GB"/>
              </w:rPr>
            </w:pPr>
          </w:p>
        </w:tc>
      </w:tr>
    </w:tbl>
    <w:p w:rsidR="004D6C2B" w:rsidRPr="004D6C2B" w:rsidRDefault="004D6C2B" w:rsidP="004D6C2B">
      <w:pPr>
        <w:pStyle w:val="Heading4"/>
      </w:pPr>
      <w:r>
        <w:lastRenderedPageBreak/>
        <w:t xml:space="preserve">Figure 1: </w:t>
      </w:r>
      <w:r w:rsidR="00757ECD">
        <w:t>Share of GOT health and overall budget by foreign and local sources</w:t>
      </w:r>
      <w:r>
        <w:t xml:space="preserve"> (FY12, FY13,</w:t>
      </w:r>
      <w:r w:rsidR="00757ECD">
        <w:t xml:space="preserve"> </w:t>
      </w:r>
      <w:r>
        <w:t>FY14)</w:t>
      </w:r>
    </w:p>
    <w:p w:rsidR="004D6C2B" w:rsidRDefault="004D6C2B" w:rsidP="002B727B">
      <w:pPr>
        <w:jc w:val="both"/>
        <w:rPr>
          <w:sz w:val="20"/>
          <w:szCs w:val="20"/>
        </w:rPr>
      </w:pPr>
    </w:p>
    <w:p w:rsidR="00D722A2" w:rsidRPr="001D037C" w:rsidRDefault="004D6C2B" w:rsidP="00D722A2">
      <w:pPr>
        <w:jc w:val="both"/>
        <w:rPr>
          <w:sz w:val="20"/>
          <w:szCs w:val="20"/>
        </w:rPr>
      </w:pPr>
      <w:r w:rsidRPr="00ED1790">
        <w:rPr>
          <w:i/>
          <w:noProof/>
          <w:sz w:val="20"/>
          <w:szCs w:val="20"/>
        </w:rPr>
        <w:drawing>
          <wp:anchor distT="0" distB="0" distL="114300" distR="114300" simplePos="0" relativeHeight="251658240" behindDoc="0" locked="0" layoutInCell="1" allowOverlap="1" wp14:anchorId="242DD54F" wp14:editId="0D5D0029">
            <wp:simplePos x="0" y="0"/>
            <wp:positionH relativeFrom="column">
              <wp:posOffset>585470</wp:posOffset>
            </wp:positionH>
            <wp:positionV relativeFrom="paragraph">
              <wp:posOffset>-3810</wp:posOffset>
            </wp:positionV>
            <wp:extent cx="4013200" cy="2205355"/>
            <wp:effectExtent l="0" t="0" r="6350" b="444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4013200" cy="2205355"/>
                    </a:xfrm>
                    <a:prstGeom prst="rect">
                      <a:avLst/>
                    </a:prstGeom>
                  </pic:spPr>
                </pic:pic>
              </a:graphicData>
            </a:graphic>
            <wp14:sizeRelH relativeFrom="page">
              <wp14:pctWidth>0</wp14:pctWidth>
            </wp14:sizeRelH>
            <wp14:sizeRelV relativeFrom="page">
              <wp14:pctHeight>0</wp14:pctHeight>
            </wp14:sizeRelV>
          </wp:anchor>
        </w:drawing>
      </w:r>
      <w:r w:rsidR="002A3EF7">
        <w:rPr>
          <w:sz w:val="20"/>
          <w:szCs w:val="20"/>
        </w:rPr>
        <w:t>The significant increase in foreign investments can be attributed to an increased contribution towards medical supplies which accounts for 78% of the total increase in on-budget foreign funding. In terms of areas of foreign funding, the</w:t>
      </w:r>
      <w:r w:rsidR="00D722A2">
        <w:rPr>
          <w:sz w:val="20"/>
          <w:szCs w:val="20"/>
        </w:rPr>
        <w:t xml:space="preserve"> biggest increases were seen as related to the </w:t>
      </w:r>
      <w:r w:rsidR="002A3EF7">
        <w:rPr>
          <w:sz w:val="20"/>
          <w:szCs w:val="20"/>
        </w:rPr>
        <w:t xml:space="preserve">disease-specific areas of HIV/AIDS, Control of </w:t>
      </w:r>
      <w:r w:rsidR="00D722A2">
        <w:rPr>
          <w:sz w:val="20"/>
          <w:szCs w:val="20"/>
        </w:rPr>
        <w:t>C</w:t>
      </w:r>
      <w:r w:rsidR="000E29F2">
        <w:rPr>
          <w:sz w:val="20"/>
          <w:szCs w:val="20"/>
        </w:rPr>
        <w:t xml:space="preserve">ommunicable Diseases, </w:t>
      </w:r>
      <w:r w:rsidR="00D722A2">
        <w:rPr>
          <w:sz w:val="20"/>
          <w:szCs w:val="20"/>
        </w:rPr>
        <w:t>S</w:t>
      </w:r>
      <w:r w:rsidR="002A3EF7">
        <w:rPr>
          <w:sz w:val="20"/>
          <w:szCs w:val="20"/>
        </w:rPr>
        <w:t>upport to TB/Leprosy</w:t>
      </w:r>
      <w:r w:rsidR="00D722A2">
        <w:rPr>
          <w:sz w:val="20"/>
          <w:szCs w:val="20"/>
        </w:rPr>
        <w:t xml:space="preserve"> Programs</w:t>
      </w:r>
      <w:r w:rsidR="000E29F2">
        <w:rPr>
          <w:sz w:val="20"/>
          <w:szCs w:val="20"/>
        </w:rPr>
        <w:t>, as well as to the Global Fund Management Project</w:t>
      </w:r>
      <w:r w:rsidR="00D722A2">
        <w:rPr>
          <w:sz w:val="20"/>
          <w:szCs w:val="20"/>
        </w:rPr>
        <w:t xml:space="preserve"> – suggesting significantly increased spending by the Global Fund for Aids, Tuberculosis, and Malaria.  Foreign funds pooled through the Health Basket Fund declined in both absolute and real terms over the period.  </w:t>
      </w:r>
      <w:r w:rsidR="00D722A2" w:rsidRPr="001D037C">
        <w:rPr>
          <w:sz w:val="20"/>
          <w:szCs w:val="20"/>
        </w:rPr>
        <w:t>This is notable given the recent M</w:t>
      </w:r>
      <w:r w:rsidR="00D722A2">
        <w:rPr>
          <w:sz w:val="20"/>
          <w:szCs w:val="20"/>
        </w:rPr>
        <w:t xml:space="preserve">id </w:t>
      </w:r>
      <w:r w:rsidR="00D722A2" w:rsidRPr="001D037C">
        <w:rPr>
          <w:sz w:val="20"/>
          <w:szCs w:val="20"/>
        </w:rPr>
        <w:t>T</w:t>
      </w:r>
      <w:r w:rsidR="00D722A2">
        <w:rPr>
          <w:sz w:val="20"/>
          <w:szCs w:val="20"/>
        </w:rPr>
        <w:t xml:space="preserve">erm </w:t>
      </w:r>
      <w:r w:rsidR="00D722A2" w:rsidRPr="001D037C">
        <w:rPr>
          <w:sz w:val="20"/>
          <w:szCs w:val="20"/>
        </w:rPr>
        <w:t>R</w:t>
      </w:r>
      <w:r w:rsidR="00D722A2">
        <w:rPr>
          <w:sz w:val="20"/>
          <w:szCs w:val="20"/>
        </w:rPr>
        <w:t>eview</w:t>
      </w:r>
      <w:r w:rsidR="00382FC1">
        <w:rPr>
          <w:sz w:val="20"/>
          <w:szCs w:val="20"/>
        </w:rPr>
        <w:t xml:space="preserve"> (MTR)</w:t>
      </w:r>
      <w:r w:rsidR="00D722A2" w:rsidRPr="001D037C">
        <w:rPr>
          <w:sz w:val="20"/>
          <w:szCs w:val="20"/>
        </w:rPr>
        <w:t xml:space="preserve"> findings</w:t>
      </w:r>
      <w:r w:rsidR="00D722A2">
        <w:rPr>
          <w:sz w:val="20"/>
          <w:szCs w:val="20"/>
        </w:rPr>
        <w:t xml:space="preserve"> of the Health Sector Strategic Plan III</w:t>
      </w:r>
      <w:r w:rsidR="00382FC1">
        <w:rPr>
          <w:sz w:val="20"/>
          <w:szCs w:val="20"/>
        </w:rPr>
        <w:t xml:space="preserve"> (HSSP III)</w:t>
      </w:r>
      <w:r w:rsidR="00D722A2" w:rsidRPr="001D037C">
        <w:rPr>
          <w:sz w:val="20"/>
          <w:szCs w:val="20"/>
        </w:rPr>
        <w:t xml:space="preserve"> showing that disease-based programs are performing relatively well while the opposite is true for general and Reproductive health care—which are largely dependent on overall systems investments.  </w:t>
      </w:r>
    </w:p>
    <w:p w:rsidR="002A3EF7" w:rsidRDefault="0057277D" w:rsidP="002B727B">
      <w:pPr>
        <w:jc w:val="both"/>
        <w:rPr>
          <w:sz w:val="20"/>
          <w:szCs w:val="20"/>
        </w:rPr>
      </w:pPr>
      <w:r>
        <w:rPr>
          <w:sz w:val="20"/>
          <w:szCs w:val="20"/>
        </w:rPr>
        <w:t xml:space="preserve">Moreover, </w:t>
      </w:r>
      <w:r w:rsidR="00D722A2">
        <w:rPr>
          <w:sz w:val="20"/>
          <w:szCs w:val="20"/>
        </w:rPr>
        <w:t>prioritizat</w:t>
      </w:r>
      <w:r>
        <w:rPr>
          <w:sz w:val="20"/>
          <w:szCs w:val="20"/>
        </w:rPr>
        <w:t xml:space="preserve">ion of the health sector from </w:t>
      </w:r>
      <w:proofErr w:type="spellStart"/>
      <w:r w:rsidR="00D722A2">
        <w:rPr>
          <w:sz w:val="20"/>
          <w:szCs w:val="20"/>
        </w:rPr>
        <w:t>GoT</w:t>
      </w:r>
      <w:r>
        <w:rPr>
          <w:sz w:val="20"/>
          <w:szCs w:val="20"/>
        </w:rPr>
        <w:t>’s</w:t>
      </w:r>
      <w:proofErr w:type="spellEnd"/>
      <w:r>
        <w:rPr>
          <w:sz w:val="20"/>
          <w:szCs w:val="20"/>
        </w:rPr>
        <w:t xml:space="preserve"> </w:t>
      </w:r>
      <w:r w:rsidR="00D722A2">
        <w:rPr>
          <w:sz w:val="20"/>
          <w:szCs w:val="20"/>
        </w:rPr>
        <w:t>l</w:t>
      </w:r>
      <w:r>
        <w:rPr>
          <w:sz w:val="20"/>
          <w:szCs w:val="20"/>
        </w:rPr>
        <w:t>ocal (domestic and GBS) funds seems to be declining.</w:t>
      </w:r>
      <w:r w:rsidR="002A3EF7">
        <w:rPr>
          <w:sz w:val="20"/>
          <w:szCs w:val="20"/>
        </w:rPr>
        <w:t xml:space="preserve">  </w:t>
      </w:r>
      <w:r>
        <w:rPr>
          <w:sz w:val="20"/>
          <w:szCs w:val="20"/>
        </w:rPr>
        <w:t xml:space="preserve">In FY 12/13 the health sector received 8% of </w:t>
      </w:r>
      <w:proofErr w:type="spellStart"/>
      <w:r>
        <w:rPr>
          <w:sz w:val="20"/>
          <w:szCs w:val="20"/>
        </w:rPr>
        <w:t>GoT’s</w:t>
      </w:r>
      <w:proofErr w:type="spellEnd"/>
      <w:r>
        <w:rPr>
          <w:sz w:val="20"/>
          <w:szCs w:val="20"/>
        </w:rPr>
        <w:t xml:space="preserve"> local (domestic and GBS) resources; this has declined to 6</w:t>
      </w:r>
      <w:r w:rsidR="009A3714">
        <w:rPr>
          <w:sz w:val="20"/>
          <w:szCs w:val="20"/>
        </w:rPr>
        <w:t xml:space="preserve">% in FY 13/14. Exclusion of </w:t>
      </w:r>
      <w:r>
        <w:rPr>
          <w:sz w:val="20"/>
          <w:szCs w:val="20"/>
        </w:rPr>
        <w:t xml:space="preserve">health from the first phase of Big Results Now could potentially be a factor.  </w:t>
      </w:r>
      <w:r w:rsidR="009A3714">
        <w:rPr>
          <w:sz w:val="20"/>
          <w:szCs w:val="20"/>
        </w:rPr>
        <w:t xml:space="preserve">While increase in foreign non-basket funds did support declines in </w:t>
      </w:r>
      <w:proofErr w:type="spellStart"/>
      <w:r w:rsidR="009A3714">
        <w:rPr>
          <w:sz w:val="20"/>
          <w:szCs w:val="20"/>
        </w:rPr>
        <w:t>GoT</w:t>
      </w:r>
      <w:proofErr w:type="spellEnd"/>
      <w:r w:rsidR="009A3714">
        <w:rPr>
          <w:sz w:val="20"/>
          <w:szCs w:val="20"/>
        </w:rPr>
        <w:t xml:space="preserve"> local resources to the health sector, it is important to recognize that these resources, unlike that of the health basket, are in large part not fungible with </w:t>
      </w:r>
      <w:proofErr w:type="spellStart"/>
      <w:r w:rsidR="009A3714">
        <w:rPr>
          <w:sz w:val="20"/>
          <w:szCs w:val="20"/>
        </w:rPr>
        <w:t>GoT</w:t>
      </w:r>
      <w:proofErr w:type="spellEnd"/>
      <w:r w:rsidR="009A3714">
        <w:rPr>
          <w:sz w:val="20"/>
          <w:szCs w:val="20"/>
        </w:rPr>
        <w:t xml:space="preserve"> local resources. </w:t>
      </w:r>
    </w:p>
    <w:p w:rsidR="00382FC1" w:rsidRDefault="00757ECD" w:rsidP="002B727B">
      <w:pPr>
        <w:jc w:val="both"/>
        <w:rPr>
          <w:sz w:val="20"/>
          <w:szCs w:val="20"/>
        </w:rPr>
      </w:pPr>
      <w:r>
        <w:rPr>
          <w:sz w:val="20"/>
          <w:szCs w:val="20"/>
        </w:rPr>
        <w:t xml:space="preserve">This year’s RBA corroborates the recent HSSP III </w:t>
      </w:r>
      <w:r w:rsidR="00382FC1">
        <w:rPr>
          <w:sz w:val="20"/>
          <w:szCs w:val="20"/>
        </w:rPr>
        <w:t>MTR</w:t>
      </w:r>
      <w:r>
        <w:rPr>
          <w:sz w:val="20"/>
          <w:szCs w:val="20"/>
        </w:rPr>
        <w:t xml:space="preserve"> findings that</w:t>
      </w:r>
      <w:r w:rsidRPr="002B727B">
        <w:rPr>
          <w:sz w:val="20"/>
          <w:szCs w:val="20"/>
        </w:rPr>
        <w:t xml:space="preserve"> dependency on donors </w:t>
      </w:r>
      <w:r>
        <w:rPr>
          <w:sz w:val="20"/>
          <w:szCs w:val="20"/>
        </w:rPr>
        <w:t xml:space="preserve">to finance health care </w:t>
      </w:r>
      <w:r w:rsidRPr="002B727B">
        <w:rPr>
          <w:sz w:val="20"/>
          <w:szCs w:val="20"/>
        </w:rPr>
        <w:t>is substantial – and</w:t>
      </w:r>
      <w:r>
        <w:rPr>
          <w:sz w:val="20"/>
          <w:szCs w:val="20"/>
        </w:rPr>
        <w:t xml:space="preserve"> that</w:t>
      </w:r>
      <w:r w:rsidRPr="002B727B">
        <w:rPr>
          <w:sz w:val="20"/>
          <w:szCs w:val="20"/>
        </w:rPr>
        <w:t xml:space="preserve"> non-basket funding </w:t>
      </w:r>
      <w:r>
        <w:rPr>
          <w:sz w:val="20"/>
          <w:szCs w:val="20"/>
        </w:rPr>
        <w:t>is</w:t>
      </w:r>
      <w:r w:rsidRPr="002B727B">
        <w:rPr>
          <w:sz w:val="20"/>
          <w:szCs w:val="20"/>
        </w:rPr>
        <w:t xml:space="preserve"> the major source of external support. </w:t>
      </w:r>
      <w:r>
        <w:rPr>
          <w:sz w:val="20"/>
          <w:szCs w:val="20"/>
        </w:rPr>
        <w:t xml:space="preserve">Furthermore, </w:t>
      </w:r>
      <w:r w:rsidRPr="002B727B">
        <w:rPr>
          <w:sz w:val="20"/>
          <w:szCs w:val="20"/>
        </w:rPr>
        <w:t xml:space="preserve">the MTR highlights concern about sustainability and notes that while many countries show a positive trend of increasing relative government contribution to the health sector, Tanzania is experiencing the opposite trend. </w:t>
      </w:r>
    </w:p>
    <w:p w:rsidR="00757ECD" w:rsidRPr="00F7293C" w:rsidRDefault="00757ECD" w:rsidP="002B727B">
      <w:pPr>
        <w:jc w:val="both"/>
        <w:rPr>
          <w:b/>
          <w:i/>
        </w:rPr>
      </w:pPr>
      <w:r w:rsidRPr="00F7293C">
        <w:rPr>
          <w:b/>
          <w:i/>
        </w:rPr>
        <w:t>Budget Execution</w:t>
      </w:r>
    </w:p>
    <w:p w:rsidR="009A3714" w:rsidRDefault="009A3714" w:rsidP="002B727B">
      <w:pPr>
        <w:jc w:val="both"/>
        <w:rPr>
          <w:sz w:val="20"/>
          <w:szCs w:val="20"/>
        </w:rPr>
      </w:pPr>
      <w:r>
        <w:rPr>
          <w:sz w:val="20"/>
          <w:szCs w:val="20"/>
        </w:rPr>
        <w:t xml:space="preserve">In terms of </w:t>
      </w:r>
      <w:r w:rsidR="000E29F2">
        <w:rPr>
          <w:sz w:val="20"/>
          <w:szCs w:val="20"/>
        </w:rPr>
        <w:t xml:space="preserve">health sector </w:t>
      </w:r>
      <w:r>
        <w:rPr>
          <w:sz w:val="20"/>
          <w:szCs w:val="20"/>
        </w:rPr>
        <w:t>budget execution for FY 12/13,</w:t>
      </w:r>
      <w:r w:rsidR="000E29F2">
        <w:rPr>
          <w:sz w:val="20"/>
          <w:szCs w:val="20"/>
        </w:rPr>
        <w:t xml:space="preserve"> 89.4% of the budgeted amount was spent. Strong budget execution was consistent across both </w:t>
      </w:r>
      <w:proofErr w:type="spellStart"/>
      <w:r w:rsidR="000E29F2">
        <w:rPr>
          <w:sz w:val="20"/>
          <w:szCs w:val="20"/>
        </w:rPr>
        <w:t>GoT</w:t>
      </w:r>
      <w:proofErr w:type="spellEnd"/>
      <w:r w:rsidR="000E29F2">
        <w:rPr>
          <w:sz w:val="20"/>
          <w:szCs w:val="20"/>
        </w:rPr>
        <w:t xml:space="preserve"> local (89.9%) and foreign sources (</w:t>
      </w:r>
      <w:r w:rsidR="00FD05EB">
        <w:rPr>
          <w:sz w:val="20"/>
          <w:szCs w:val="20"/>
        </w:rPr>
        <w:t xml:space="preserve">88.3%). This is a welcome improvement from the FY 11/12, as reported in last year’s RBA, where more than 90% of </w:t>
      </w:r>
      <w:proofErr w:type="spellStart"/>
      <w:r w:rsidR="00FD05EB">
        <w:rPr>
          <w:sz w:val="20"/>
          <w:szCs w:val="20"/>
        </w:rPr>
        <w:t>GoT</w:t>
      </w:r>
      <w:proofErr w:type="spellEnd"/>
      <w:r w:rsidR="00FD05EB">
        <w:rPr>
          <w:sz w:val="20"/>
          <w:szCs w:val="20"/>
        </w:rPr>
        <w:t xml:space="preserve"> discretionary was executed while foreign budgets were spent to less than 40% (with low foreign budget execution linked to low execution of GFATM resources). Amongst other factors, the </w:t>
      </w:r>
      <w:r w:rsidR="00FD05EB">
        <w:rPr>
          <w:sz w:val="20"/>
          <w:szCs w:val="20"/>
        </w:rPr>
        <w:lastRenderedPageBreak/>
        <w:t xml:space="preserve">substantial increase in FY 12/13 of </w:t>
      </w:r>
      <w:proofErr w:type="spellStart"/>
      <w:r w:rsidR="00FD05EB">
        <w:rPr>
          <w:sz w:val="20"/>
          <w:szCs w:val="20"/>
        </w:rPr>
        <w:t>GoT</w:t>
      </w:r>
      <w:proofErr w:type="spellEnd"/>
      <w:r w:rsidR="00FD05EB">
        <w:rPr>
          <w:sz w:val="20"/>
          <w:szCs w:val="20"/>
        </w:rPr>
        <w:t xml:space="preserve"> discretionary (domestic and GBS) resources, alongside a reduction in foreign non-basket funding, might have contributed to improved execution of foreign funds.  Given the significant shift in balance between the two (</w:t>
      </w:r>
      <w:proofErr w:type="spellStart"/>
      <w:r w:rsidR="00FD05EB">
        <w:rPr>
          <w:sz w:val="20"/>
          <w:szCs w:val="20"/>
        </w:rPr>
        <w:t>GoT</w:t>
      </w:r>
      <w:proofErr w:type="spellEnd"/>
      <w:r w:rsidR="00FD05EB">
        <w:rPr>
          <w:sz w:val="20"/>
          <w:szCs w:val="20"/>
        </w:rPr>
        <w:t xml:space="preserve"> discretionary and foreign non-basket</w:t>
      </w:r>
      <w:r w:rsidR="00B41A6F">
        <w:rPr>
          <w:sz w:val="20"/>
          <w:szCs w:val="20"/>
        </w:rPr>
        <w:t xml:space="preserve"> resources</w:t>
      </w:r>
      <w:r w:rsidR="00FD05EB">
        <w:rPr>
          <w:sz w:val="20"/>
          <w:szCs w:val="20"/>
        </w:rPr>
        <w:t xml:space="preserve">), as identified earlier, it will be important to keep close track of foreign funding execution in FY 13/14.  </w:t>
      </w:r>
      <w:r>
        <w:rPr>
          <w:sz w:val="20"/>
          <w:szCs w:val="20"/>
        </w:rPr>
        <w:t xml:space="preserve"> </w:t>
      </w:r>
    </w:p>
    <w:p w:rsidR="00757ECD" w:rsidRPr="00F7293C" w:rsidRDefault="00757ECD" w:rsidP="002B727B">
      <w:pPr>
        <w:jc w:val="both"/>
        <w:rPr>
          <w:b/>
          <w:i/>
        </w:rPr>
      </w:pPr>
      <w:r w:rsidRPr="00F7293C">
        <w:rPr>
          <w:b/>
          <w:i/>
        </w:rPr>
        <w:t>Relation to Priorities</w:t>
      </w:r>
    </w:p>
    <w:p w:rsidR="008F42BD" w:rsidRDefault="00382FC1" w:rsidP="00213D30">
      <w:pPr>
        <w:jc w:val="both"/>
        <w:rPr>
          <w:sz w:val="20"/>
          <w:szCs w:val="20"/>
        </w:rPr>
      </w:pPr>
      <w:r w:rsidRPr="0086339C">
        <w:rPr>
          <w:sz w:val="20"/>
          <w:szCs w:val="20"/>
        </w:rPr>
        <w:t>This year’s HSSP III MTR noted that the a</w:t>
      </w:r>
      <w:r w:rsidR="00757ECD" w:rsidRPr="0086339C">
        <w:rPr>
          <w:sz w:val="20"/>
          <w:szCs w:val="20"/>
        </w:rPr>
        <w:t xml:space="preserve">vailability </w:t>
      </w:r>
      <w:r w:rsidRPr="0086339C">
        <w:rPr>
          <w:sz w:val="20"/>
          <w:szCs w:val="20"/>
        </w:rPr>
        <w:t xml:space="preserve">and accessibility </w:t>
      </w:r>
      <w:r w:rsidR="00757ECD" w:rsidRPr="0086339C">
        <w:rPr>
          <w:sz w:val="20"/>
          <w:szCs w:val="20"/>
        </w:rPr>
        <w:t xml:space="preserve">of </w:t>
      </w:r>
      <w:r w:rsidRPr="0086339C">
        <w:rPr>
          <w:sz w:val="20"/>
          <w:szCs w:val="20"/>
        </w:rPr>
        <w:t>commodities remains a critical issue. In this regard, t</w:t>
      </w:r>
      <w:r w:rsidR="00B41A6F" w:rsidRPr="0086339C">
        <w:rPr>
          <w:sz w:val="20"/>
          <w:szCs w:val="20"/>
        </w:rPr>
        <w:t xml:space="preserve">he overall budget for medical supplies has increased by 74% in real terms between FY 12/13 and FY 13/14. This is due to the increased funding for specialized medical supplies to support the HIV/AIDS Control </w:t>
      </w:r>
      <w:proofErr w:type="spellStart"/>
      <w:r w:rsidR="00B41A6F" w:rsidRPr="0086339C">
        <w:rPr>
          <w:sz w:val="20"/>
          <w:szCs w:val="20"/>
        </w:rPr>
        <w:t>Programme</w:t>
      </w:r>
      <w:proofErr w:type="spellEnd"/>
      <w:r w:rsidR="00B41A6F" w:rsidRPr="0086339C">
        <w:rPr>
          <w:sz w:val="20"/>
          <w:szCs w:val="20"/>
        </w:rPr>
        <w:t xml:space="preserve">, Control of Communicable Diseases, and the TB/Leprosy </w:t>
      </w:r>
      <w:proofErr w:type="spellStart"/>
      <w:r w:rsidR="00B41A6F" w:rsidRPr="0086339C">
        <w:rPr>
          <w:sz w:val="20"/>
          <w:szCs w:val="20"/>
        </w:rPr>
        <w:t>Programmes</w:t>
      </w:r>
      <w:proofErr w:type="spellEnd"/>
      <w:r w:rsidR="00B41A6F" w:rsidRPr="0086339C">
        <w:rPr>
          <w:sz w:val="20"/>
          <w:szCs w:val="20"/>
        </w:rPr>
        <w:t xml:space="preserve">. </w:t>
      </w:r>
      <w:r w:rsidR="0086339C" w:rsidRPr="0086339C">
        <w:rPr>
          <w:sz w:val="20"/>
          <w:szCs w:val="20"/>
        </w:rPr>
        <w:t xml:space="preserve">In terms of financing sources for commodities in the public sector, </w:t>
      </w:r>
      <w:r w:rsidR="0086339C" w:rsidRPr="0086339C">
        <w:rPr>
          <w:rFonts w:cs="Arial"/>
          <w:color w:val="222222"/>
          <w:sz w:val="20"/>
          <w:szCs w:val="20"/>
          <w:shd w:val="clear" w:color="auto" w:fill="FFFFFF"/>
        </w:rPr>
        <w:t xml:space="preserve">90% of the medicines budget is foreign. </w:t>
      </w:r>
      <w:r w:rsidR="0086339C" w:rsidRPr="0086339C">
        <w:rPr>
          <w:rFonts w:cs="Arial"/>
          <w:color w:val="222222"/>
          <w:sz w:val="20"/>
          <w:szCs w:val="20"/>
          <w:shd w:val="clear" w:color="auto" w:fill="FFFFFF"/>
        </w:rPr>
        <w:t xml:space="preserve">Between 2012/13 and 13/14, </w:t>
      </w:r>
      <w:r w:rsidR="0086339C" w:rsidRPr="0086339C">
        <w:rPr>
          <w:rFonts w:cs="Arial"/>
          <w:color w:val="222222"/>
          <w:sz w:val="20"/>
          <w:szCs w:val="20"/>
          <w:shd w:val="clear" w:color="auto" w:fill="FFFFFF"/>
        </w:rPr>
        <w:t>foreign</w:t>
      </w:r>
      <w:r w:rsidR="0086339C" w:rsidRPr="0086339C">
        <w:rPr>
          <w:rFonts w:cs="Arial"/>
          <w:color w:val="222222"/>
          <w:sz w:val="20"/>
          <w:szCs w:val="20"/>
          <w:shd w:val="clear" w:color="auto" w:fill="FFFFFF"/>
        </w:rPr>
        <w:t xml:space="preserve"> investment</w:t>
      </w:r>
      <w:r w:rsidR="0086339C" w:rsidRPr="0086339C">
        <w:rPr>
          <w:rFonts w:cs="Arial"/>
          <w:color w:val="222222"/>
          <w:sz w:val="20"/>
          <w:szCs w:val="20"/>
          <w:shd w:val="clear" w:color="auto" w:fill="FFFFFF"/>
        </w:rPr>
        <w:t xml:space="preserve"> has increased by 89% </w:t>
      </w:r>
      <w:r w:rsidR="0086339C" w:rsidRPr="0086339C">
        <w:rPr>
          <w:rFonts w:cs="Arial"/>
          <w:color w:val="222222"/>
          <w:sz w:val="20"/>
          <w:szCs w:val="20"/>
          <w:shd w:val="clear" w:color="auto" w:fill="FFFFFF"/>
        </w:rPr>
        <w:t xml:space="preserve">(for reasons referenced above) </w:t>
      </w:r>
      <w:r w:rsidR="0086339C" w:rsidRPr="0086339C">
        <w:rPr>
          <w:rFonts w:cs="Arial"/>
          <w:color w:val="222222"/>
          <w:sz w:val="20"/>
          <w:szCs w:val="20"/>
          <w:shd w:val="clear" w:color="auto" w:fill="FFFFFF"/>
        </w:rPr>
        <w:t xml:space="preserve">and local </w:t>
      </w:r>
      <w:r w:rsidR="0086339C" w:rsidRPr="0086339C">
        <w:rPr>
          <w:rFonts w:cs="Arial"/>
          <w:color w:val="222222"/>
          <w:sz w:val="20"/>
          <w:szCs w:val="20"/>
          <w:shd w:val="clear" w:color="auto" w:fill="FFFFFF"/>
        </w:rPr>
        <w:t xml:space="preserve">investment increased </w:t>
      </w:r>
      <w:r w:rsidR="0086339C" w:rsidRPr="0086339C">
        <w:rPr>
          <w:rFonts w:cs="Arial"/>
          <w:color w:val="222222"/>
          <w:sz w:val="20"/>
          <w:szCs w:val="20"/>
          <w:shd w:val="clear" w:color="auto" w:fill="FFFFFF"/>
        </w:rPr>
        <w:t>by 1% in real terms.</w:t>
      </w:r>
      <w:r w:rsidR="0086339C">
        <w:rPr>
          <w:rFonts w:ascii="Arial" w:hAnsi="Arial" w:cs="Arial"/>
          <w:color w:val="222222"/>
          <w:sz w:val="20"/>
          <w:szCs w:val="20"/>
          <w:shd w:val="clear" w:color="auto" w:fill="FFFFFF"/>
        </w:rPr>
        <w:t> </w:t>
      </w:r>
      <w:r w:rsidR="00F50AB0">
        <w:rPr>
          <w:sz w:val="20"/>
          <w:szCs w:val="20"/>
        </w:rPr>
        <w:t>As a share of the total GOT h</w:t>
      </w:r>
      <w:r w:rsidR="00B41A6F">
        <w:rPr>
          <w:sz w:val="20"/>
          <w:szCs w:val="20"/>
        </w:rPr>
        <w:t xml:space="preserve">ealth budget, the medical supplies budget has increased from 15% in 2012-13 to 24% in 2013-14. However, at the same time, the facility budget allocated to MSD has decreased by 28%. </w:t>
      </w:r>
    </w:p>
    <w:p w:rsidR="00660B18" w:rsidRPr="00F25E8A" w:rsidRDefault="00660B18" w:rsidP="00213D30">
      <w:pPr>
        <w:jc w:val="both"/>
        <w:rPr>
          <w:sz w:val="20"/>
          <w:szCs w:val="20"/>
        </w:rPr>
      </w:pPr>
      <w:r w:rsidRPr="00F25E8A">
        <w:rPr>
          <w:sz w:val="20"/>
          <w:szCs w:val="20"/>
        </w:rPr>
        <w:t xml:space="preserve">At the </w:t>
      </w:r>
      <w:r w:rsidR="00382FC1" w:rsidRPr="00F25E8A">
        <w:rPr>
          <w:sz w:val="20"/>
          <w:szCs w:val="20"/>
        </w:rPr>
        <w:t xml:space="preserve">2012 </w:t>
      </w:r>
      <w:r w:rsidRPr="00F25E8A">
        <w:rPr>
          <w:sz w:val="20"/>
          <w:szCs w:val="20"/>
        </w:rPr>
        <w:t>London Summit for Family Pl</w:t>
      </w:r>
      <w:bookmarkStart w:id="0" w:name="_GoBack"/>
      <w:bookmarkEnd w:id="0"/>
      <w:r w:rsidRPr="00F25E8A">
        <w:rPr>
          <w:sz w:val="20"/>
          <w:szCs w:val="20"/>
        </w:rPr>
        <w:t>anning, the GOT pledged to substantially increase investment in family planning over time</w:t>
      </w:r>
      <w:r w:rsidR="00382FC1" w:rsidRPr="00F25E8A">
        <w:rPr>
          <w:sz w:val="20"/>
          <w:szCs w:val="20"/>
        </w:rPr>
        <w:t>. In reviewing the approved Medium Term Expenditure Framework (MTEF)</w:t>
      </w:r>
      <w:r w:rsidRPr="00F25E8A">
        <w:rPr>
          <w:sz w:val="20"/>
          <w:szCs w:val="20"/>
        </w:rPr>
        <w:t xml:space="preserve">, </w:t>
      </w:r>
      <w:r w:rsidR="00382FC1" w:rsidRPr="00F25E8A">
        <w:rPr>
          <w:sz w:val="20"/>
          <w:szCs w:val="20"/>
        </w:rPr>
        <w:t xml:space="preserve">the funds for family planning have not changed considerably. Rather, as in 2012/13, </w:t>
      </w:r>
      <w:r w:rsidRPr="00F25E8A">
        <w:rPr>
          <w:sz w:val="20"/>
          <w:szCs w:val="20"/>
        </w:rPr>
        <w:t xml:space="preserve">1 billion TZS </w:t>
      </w:r>
      <w:r w:rsidR="00382FC1" w:rsidRPr="00F25E8A">
        <w:rPr>
          <w:sz w:val="20"/>
          <w:szCs w:val="20"/>
        </w:rPr>
        <w:t xml:space="preserve">of local funds </w:t>
      </w:r>
      <w:r w:rsidRPr="00F25E8A">
        <w:rPr>
          <w:sz w:val="20"/>
          <w:szCs w:val="20"/>
        </w:rPr>
        <w:t>has been pledged for each year up to 2014/15.</w:t>
      </w:r>
      <w:r w:rsidR="00382FC1" w:rsidRPr="00F25E8A">
        <w:rPr>
          <w:sz w:val="20"/>
          <w:szCs w:val="20"/>
        </w:rPr>
        <w:t xml:space="preserve"> This is complemented by increasing investment by foreign financiers of </w:t>
      </w:r>
      <w:r w:rsidR="00382FC1" w:rsidRPr="00F25E8A">
        <w:rPr>
          <w:rFonts w:cs="Calibri"/>
          <w:sz w:val="20"/>
          <w:szCs w:val="20"/>
          <w:shd w:val="clear" w:color="auto" w:fill="FFFFFF"/>
        </w:rPr>
        <w:t xml:space="preserve">3 billion TZS in FY 2013/14, 3.75 billion TZS in FY 2014/15, and S4.6875 billion TZS in FY 2015/16. </w:t>
      </w:r>
    </w:p>
    <w:p w:rsidR="008F42BD" w:rsidRPr="00F7293C" w:rsidRDefault="008F42BD" w:rsidP="00B41A6F">
      <w:pPr>
        <w:rPr>
          <w:b/>
          <w:i/>
        </w:rPr>
      </w:pPr>
      <w:r w:rsidRPr="00F7293C">
        <w:rPr>
          <w:b/>
          <w:i/>
        </w:rPr>
        <w:t xml:space="preserve">Geographic Equity </w:t>
      </w:r>
    </w:p>
    <w:p w:rsidR="00B41A6F" w:rsidRDefault="00B41A6F" w:rsidP="00213D30">
      <w:pPr>
        <w:jc w:val="both"/>
        <w:rPr>
          <w:sz w:val="20"/>
          <w:szCs w:val="20"/>
        </w:rPr>
      </w:pPr>
      <w:r w:rsidRPr="00ED1790">
        <w:rPr>
          <w:sz w:val="20"/>
          <w:szCs w:val="20"/>
        </w:rPr>
        <w:t>Equity between LGAs has been traditionally assessed by plotting the ratio of per capita funding an LGA receives over the average across all LGAs. In the following chart</w:t>
      </w:r>
      <w:r w:rsidR="00E04305">
        <w:rPr>
          <w:sz w:val="20"/>
          <w:szCs w:val="20"/>
        </w:rPr>
        <w:t xml:space="preserve"> (Figure 2)</w:t>
      </w:r>
      <w:r w:rsidRPr="00ED1790">
        <w:rPr>
          <w:sz w:val="20"/>
          <w:szCs w:val="20"/>
        </w:rPr>
        <w:t xml:space="preserve">, LGAs plotted on the left receive the highest allocations, while those on the right receive the lowest. </w:t>
      </w:r>
    </w:p>
    <w:p w:rsidR="00E04305" w:rsidRDefault="00E04305" w:rsidP="00E04305">
      <w:pPr>
        <w:jc w:val="both"/>
        <w:rPr>
          <w:i/>
          <w:sz w:val="20"/>
          <w:szCs w:val="20"/>
        </w:rPr>
      </w:pPr>
      <w:r>
        <w:rPr>
          <w:i/>
          <w:sz w:val="20"/>
          <w:szCs w:val="20"/>
        </w:rPr>
        <w:t xml:space="preserve">This chart should be read with the following caveat in mind. </w:t>
      </w:r>
      <w:r w:rsidRPr="00ED1790">
        <w:rPr>
          <w:i/>
          <w:sz w:val="20"/>
          <w:szCs w:val="20"/>
        </w:rPr>
        <w:t>The integrity of LGA data, challenge of applying 2012 Census population data, as well as comparability with previous LGAs data remains a concern. More specifically, in the LGA budget FY 13/14 there are 23 districts without any PE, of which 3 have OC.; 23 without OC, of which 3 receive PE;. 20 districts receive no funding in the budget, or the data is corrupted. Also 4 districts exist in the budgets but not in the census. This all means that of the 163 districts, the analysis below compares 135</w:t>
      </w:r>
      <w:r>
        <w:rPr>
          <w:i/>
          <w:sz w:val="20"/>
          <w:szCs w:val="20"/>
        </w:rPr>
        <w:t xml:space="preserve"> districts</w:t>
      </w:r>
      <w:r w:rsidRPr="00ED1790">
        <w:rPr>
          <w:i/>
          <w:sz w:val="20"/>
          <w:szCs w:val="20"/>
        </w:rPr>
        <w:t xml:space="preserve">. </w:t>
      </w:r>
    </w:p>
    <w:p w:rsidR="00E04305" w:rsidRPr="00ED1790" w:rsidRDefault="00E04305" w:rsidP="00213D30">
      <w:pPr>
        <w:jc w:val="both"/>
        <w:rPr>
          <w:sz w:val="20"/>
          <w:szCs w:val="20"/>
        </w:rPr>
      </w:pPr>
      <w:proofErr w:type="gramStart"/>
      <w:r w:rsidRPr="00E04305">
        <w:rPr>
          <w:sz w:val="20"/>
          <w:szCs w:val="20"/>
        </w:rPr>
        <w:t>On a positive note, the LGA data for FY 13/14 (unlike for LGA data FY 12/13) matches the transfers in the approved budget.</w:t>
      </w:r>
      <w:proofErr w:type="gramEnd"/>
      <w:r w:rsidRPr="00E04305">
        <w:rPr>
          <w:sz w:val="20"/>
          <w:szCs w:val="20"/>
        </w:rPr>
        <w:t xml:space="preserve"> LGA budget FY 13/14 does not capture foreign development spending.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56"/>
      </w:tblGrid>
      <w:tr w:rsidR="00B41A6F" w:rsidTr="00F7293C">
        <w:tc>
          <w:tcPr>
            <w:tcW w:w="9854" w:type="dxa"/>
          </w:tcPr>
          <w:p w:rsidR="00B41A6F" w:rsidRPr="00E04305" w:rsidRDefault="00E04305" w:rsidP="00F7293C">
            <w:pPr>
              <w:rPr>
                <w:b/>
                <w:i/>
                <w:sz w:val="20"/>
                <w:szCs w:val="20"/>
                <w:lang w:val="en-GB"/>
              </w:rPr>
            </w:pPr>
            <w:r w:rsidRPr="00E04305">
              <w:rPr>
                <w:b/>
                <w:i/>
                <w:sz w:val="20"/>
                <w:szCs w:val="20"/>
                <w:lang w:val="en-GB"/>
              </w:rPr>
              <w:t xml:space="preserve">Figure 2: </w:t>
            </w:r>
            <w:r w:rsidR="00B41A6F" w:rsidRPr="00E04305">
              <w:rPr>
                <w:b/>
                <w:i/>
                <w:sz w:val="20"/>
                <w:szCs w:val="20"/>
                <w:lang w:val="en-GB"/>
              </w:rPr>
              <w:t>LGA level per capita Health Block Grant Spending FY 13/14, as a multiplier of average per capita spending. Sorted in descending order.</w:t>
            </w:r>
          </w:p>
        </w:tc>
      </w:tr>
      <w:tr w:rsidR="00B41A6F" w:rsidTr="00F7293C">
        <w:tc>
          <w:tcPr>
            <w:tcW w:w="9854" w:type="dxa"/>
          </w:tcPr>
          <w:p w:rsidR="00B41A6F" w:rsidRDefault="00B41A6F" w:rsidP="00F7293C">
            <w:pPr>
              <w:rPr>
                <w:lang w:val="en-GB"/>
              </w:rPr>
            </w:pPr>
            <w:r>
              <w:rPr>
                <w:noProof/>
              </w:rPr>
              <w:lastRenderedPageBreak/>
              <w:drawing>
                <wp:inline distT="0" distB="0" distL="0" distR="0" wp14:anchorId="2154CCB9" wp14:editId="4D3E90A0">
                  <wp:extent cx="5943600" cy="2143125"/>
                  <wp:effectExtent l="0" t="0" r="19050"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r w:rsidR="00B41A6F" w:rsidTr="00F7293C">
        <w:tc>
          <w:tcPr>
            <w:tcW w:w="9854" w:type="dxa"/>
          </w:tcPr>
          <w:p w:rsidR="00B41A6F" w:rsidRDefault="00B41A6F" w:rsidP="00F7293C">
            <w:pPr>
              <w:rPr>
                <w:lang w:val="en-GB"/>
              </w:rPr>
            </w:pPr>
            <w:r w:rsidRPr="00AC272B">
              <w:rPr>
                <w:sz w:val="16"/>
                <w:lang w:val="en-GB"/>
              </w:rPr>
              <w:t xml:space="preserve">Source: </w:t>
            </w:r>
            <w:proofErr w:type="spellStart"/>
            <w:r>
              <w:rPr>
                <w:sz w:val="16"/>
                <w:lang w:val="en-GB"/>
              </w:rPr>
              <w:t>MoF</w:t>
            </w:r>
            <w:proofErr w:type="spellEnd"/>
            <w:r>
              <w:rPr>
                <w:sz w:val="16"/>
                <w:lang w:val="en-GB"/>
              </w:rPr>
              <w:t>, NBS</w:t>
            </w:r>
          </w:p>
        </w:tc>
      </w:tr>
    </w:tbl>
    <w:p w:rsidR="00D40EEC" w:rsidRPr="00ED1790" w:rsidRDefault="004F24E2" w:rsidP="00213D30">
      <w:pPr>
        <w:jc w:val="both"/>
        <w:rPr>
          <w:sz w:val="20"/>
          <w:szCs w:val="20"/>
          <w:lang w:val="en-GB"/>
        </w:rPr>
      </w:pPr>
      <w:r w:rsidRPr="00ED1790">
        <w:rPr>
          <w:sz w:val="20"/>
          <w:szCs w:val="20"/>
        </w:rPr>
        <w:t>T</w:t>
      </w:r>
      <w:r w:rsidR="00B41A6F" w:rsidRPr="00ED1790">
        <w:rPr>
          <w:sz w:val="20"/>
          <w:szCs w:val="20"/>
        </w:rPr>
        <w:t xml:space="preserve">he above </w:t>
      </w:r>
      <w:r w:rsidRPr="00ED1790">
        <w:rPr>
          <w:sz w:val="20"/>
          <w:szCs w:val="20"/>
        </w:rPr>
        <w:t>graph (</w:t>
      </w:r>
      <w:r w:rsidR="00B41A6F" w:rsidRPr="00ED1790">
        <w:rPr>
          <w:sz w:val="20"/>
          <w:szCs w:val="20"/>
        </w:rPr>
        <w:t xml:space="preserve">outliers excluded) </w:t>
      </w:r>
      <w:r w:rsidR="00990274" w:rsidRPr="00ED1790">
        <w:rPr>
          <w:sz w:val="20"/>
          <w:szCs w:val="20"/>
        </w:rPr>
        <w:t>speaks</w:t>
      </w:r>
      <w:r w:rsidR="00B41A6F" w:rsidRPr="00ED1790">
        <w:rPr>
          <w:sz w:val="20"/>
          <w:szCs w:val="20"/>
        </w:rPr>
        <w:t xml:space="preserve"> strongly t</w:t>
      </w:r>
      <w:r w:rsidRPr="00ED1790">
        <w:rPr>
          <w:sz w:val="20"/>
          <w:szCs w:val="20"/>
        </w:rPr>
        <w:t>o the persistence of highly unequal</w:t>
      </w:r>
      <w:r w:rsidR="00B41A6F" w:rsidRPr="00ED1790">
        <w:rPr>
          <w:sz w:val="20"/>
          <w:szCs w:val="20"/>
        </w:rPr>
        <w:t xml:space="preserve"> health block</w:t>
      </w:r>
      <w:r w:rsidRPr="00ED1790">
        <w:rPr>
          <w:sz w:val="20"/>
          <w:szCs w:val="20"/>
        </w:rPr>
        <w:t xml:space="preserve"> grant (OC and PE) distribution</w:t>
      </w:r>
      <w:r w:rsidR="00B41A6F" w:rsidRPr="00ED1790">
        <w:rPr>
          <w:sz w:val="20"/>
          <w:szCs w:val="20"/>
        </w:rPr>
        <w:t xml:space="preserve"> amongst LGAs.  </w:t>
      </w:r>
      <w:r w:rsidR="00990274" w:rsidRPr="00ED1790">
        <w:rPr>
          <w:sz w:val="20"/>
          <w:szCs w:val="20"/>
        </w:rPr>
        <w:t xml:space="preserve">The top five districts - </w:t>
      </w:r>
      <w:proofErr w:type="spellStart"/>
      <w:r w:rsidRPr="00ED1790">
        <w:rPr>
          <w:sz w:val="20"/>
          <w:szCs w:val="20"/>
        </w:rPr>
        <w:t>Njombe</w:t>
      </w:r>
      <w:proofErr w:type="spellEnd"/>
      <w:r w:rsidRPr="00ED1790">
        <w:rPr>
          <w:sz w:val="20"/>
          <w:szCs w:val="20"/>
        </w:rPr>
        <w:t xml:space="preserve">, </w:t>
      </w:r>
      <w:proofErr w:type="spellStart"/>
      <w:r w:rsidRPr="00ED1790">
        <w:rPr>
          <w:sz w:val="20"/>
          <w:szCs w:val="20"/>
        </w:rPr>
        <w:t>Pangani</w:t>
      </w:r>
      <w:proofErr w:type="spellEnd"/>
      <w:r w:rsidRPr="00ED1790">
        <w:rPr>
          <w:sz w:val="20"/>
          <w:szCs w:val="20"/>
        </w:rPr>
        <w:t xml:space="preserve">, </w:t>
      </w:r>
      <w:proofErr w:type="spellStart"/>
      <w:r w:rsidR="00990274" w:rsidRPr="00ED1790">
        <w:rPr>
          <w:sz w:val="20"/>
          <w:szCs w:val="20"/>
        </w:rPr>
        <w:t>Kisarawe</w:t>
      </w:r>
      <w:proofErr w:type="spellEnd"/>
      <w:r w:rsidR="00990274" w:rsidRPr="00ED1790">
        <w:rPr>
          <w:sz w:val="20"/>
          <w:szCs w:val="20"/>
        </w:rPr>
        <w:t xml:space="preserve">, </w:t>
      </w:r>
      <w:proofErr w:type="spellStart"/>
      <w:r w:rsidR="00990274" w:rsidRPr="00ED1790">
        <w:rPr>
          <w:sz w:val="20"/>
          <w:szCs w:val="20"/>
        </w:rPr>
        <w:t>Kibaha</w:t>
      </w:r>
      <w:proofErr w:type="spellEnd"/>
      <w:r w:rsidR="00990274" w:rsidRPr="00ED1790">
        <w:rPr>
          <w:sz w:val="20"/>
          <w:szCs w:val="20"/>
        </w:rPr>
        <w:t>, and Mafia -</w:t>
      </w:r>
      <w:r w:rsidRPr="00ED1790">
        <w:rPr>
          <w:sz w:val="20"/>
          <w:szCs w:val="20"/>
        </w:rPr>
        <w:t xml:space="preserve"> </w:t>
      </w:r>
      <w:r w:rsidR="00990274" w:rsidRPr="00ED1790">
        <w:rPr>
          <w:sz w:val="20"/>
          <w:szCs w:val="20"/>
        </w:rPr>
        <w:t xml:space="preserve">average about 28,000 </w:t>
      </w:r>
      <w:proofErr w:type="spellStart"/>
      <w:r w:rsidR="00990274" w:rsidRPr="00ED1790">
        <w:rPr>
          <w:sz w:val="20"/>
          <w:szCs w:val="20"/>
        </w:rPr>
        <w:t>Tshs</w:t>
      </w:r>
      <w:proofErr w:type="spellEnd"/>
      <w:r w:rsidR="00990274" w:rsidRPr="00ED1790">
        <w:rPr>
          <w:sz w:val="20"/>
          <w:szCs w:val="20"/>
        </w:rPr>
        <w:t xml:space="preserve"> per Capita (270% of the national average); while the bottom five – </w:t>
      </w:r>
      <w:proofErr w:type="spellStart"/>
      <w:r w:rsidR="00990274" w:rsidRPr="00ED1790">
        <w:rPr>
          <w:sz w:val="20"/>
          <w:szCs w:val="20"/>
        </w:rPr>
        <w:t>Ukurewe</w:t>
      </w:r>
      <w:proofErr w:type="spellEnd"/>
      <w:r w:rsidR="00990274" w:rsidRPr="00ED1790">
        <w:rPr>
          <w:sz w:val="20"/>
          <w:szCs w:val="20"/>
        </w:rPr>
        <w:t xml:space="preserve">, </w:t>
      </w:r>
      <w:proofErr w:type="spellStart"/>
      <w:r w:rsidR="00990274" w:rsidRPr="00ED1790">
        <w:rPr>
          <w:sz w:val="20"/>
          <w:szCs w:val="20"/>
        </w:rPr>
        <w:t>Tunduma</w:t>
      </w:r>
      <w:proofErr w:type="spellEnd"/>
      <w:r w:rsidR="00990274" w:rsidRPr="00ED1790">
        <w:rPr>
          <w:sz w:val="20"/>
          <w:szCs w:val="20"/>
        </w:rPr>
        <w:t xml:space="preserve"> Town, </w:t>
      </w:r>
      <w:proofErr w:type="spellStart"/>
      <w:r w:rsidR="00990274" w:rsidRPr="00ED1790">
        <w:rPr>
          <w:sz w:val="20"/>
          <w:szCs w:val="20"/>
        </w:rPr>
        <w:t>Rufiji</w:t>
      </w:r>
      <w:proofErr w:type="spellEnd"/>
      <w:r w:rsidR="00990274" w:rsidRPr="00ED1790">
        <w:rPr>
          <w:sz w:val="20"/>
          <w:szCs w:val="20"/>
        </w:rPr>
        <w:t xml:space="preserve">, </w:t>
      </w:r>
      <w:proofErr w:type="spellStart"/>
      <w:r w:rsidR="00990274" w:rsidRPr="00ED1790">
        <w:rPr>
          <w:sz w:val="20"/>
          <w:szCs w:val="20"/>
        </w:rPr>
        <w:t>Uyuyi</w:t>
      </w:r>
      <w:proofErr w:type="spellEnd"/>
      <w:r w:rsidR="00990274" w:rsidRPr="00ED1790">
        <w:rPr>
          <w:sz w:val="20"/>
          <w:szCs w:val="20"/>
        </w:rPr>
        <w:t xml:space="preserve">, and </w:t>
      </w:r>
      <w:proofErr w:type="spellStart"/>
      <w:r w:rsidR="00990274" w:rsidRPr="00ED1790">
        <w:rPr>
          <w:sz w:val="20"/>
          <w:szCs w:val="20"/>
        </w:rPr>
        <w:t>Masasi</w:t>
      </w:r>
      <w:proofErr w:type="spellEnd"/>
      <w:r w:rsidR="00990274" w:rsidRPr="00ED1790">
        <w:rPr>
          <w:sz w:val="20"/>
          <w:szCs w:val="20"/>
        </w:rPr>
        <w:t xml:space="preserve"> – average about 2,200 </w:t>
      </w:r>
      <w:proofErr w:type="spellStart"/>
      <w:r w:rsidR="00990274" w:rsidRPr="00ED1790">
        <w:rPr>
          <w:sz w:val="20"/>
          <w:szCs w:val="20"/>
        </w:rPr>
        <w:t>Tshs</w:t>
      </w:r>
      <w:proofErr w:type="spellEnd"/>
      <w:r w:rsidR="00990274" w:rsidRPr="00ED1790">
        <w:rPr>
          <w:sz w:val="20"/>
          <w:szCs w:val="20"/>
        </w:rPr>
        <w:t xml:space="preserve"> per capita (27% of the national average). On a population basis, </w:t>
      </w:r>
      <w:r w:rsidR="00F25E8A">
        <w:rPr>
          <w:sz w:val="20"/>
          <w:szCs w:val="20"/>
        </w:rPr>
        <w:t xml:space="preserve">those </w:t>
      </w:r>
      <w:r w:rsidR="00F25E8A">
        <w:rPr>
          <w:sz w:val="20"/>
          <w:szCs w:val="20"/>
          <w:lang w:val="en-GB"/>
        </w:rPr>
        <w:t>in the privileged top 10% of the population</w:t>
      </w:r>
      <w:r w:rsidR="00990274" w:rsidRPr="00ED1790">
        <w:rPr>
          <w:sz w:val="20"/>
          <w:szCs w:val="20"/>
          <w:lang w:val="en-GB"/>
        </w:rPr>
        <w:t xml:space="preserve"> on average get 65% more than the national average; while the least </w:t>
      </w:r>
      <w:r w:rsidR="00D40EEC" w:rsidRPr="00ED1790">
        <w:rPr>
          <w:sz w:val="20"/>
          <w:szCs w:val="20"/>
          <w:lang w:val="en-GB"/>
        </w:rPr>
        <w:t>privileged</w:t>
      </w:r>
      <w:r w:rsidR="00990274" w:rsidRPr="00ED1790">
        <w:rPr>
          <w:sz w:val="20"/>
          <w:szCs w:val="20"/>
          <w:lang w:val="en-GB"/>
        </w:rPr>
        <w:t xml:space="preserve"> </w:t>
      </w:r>
      <w:r w:rsidR="00D40EEC" w:rsidRPr="00ED1790">
        <w:rPr>
          <w:sz w:val="20"/>
          <w:szCs w:val="20"/>
          <w:lang w:val="en-GB"/>
        </w:rPr>
        <w:t>10%</w:t>
      </w:r>
      <w:r w:rsidR="00990274" w:rsidRPr="00ED1790">
        <w:rPr>
          <w:sz w:val="20"/>
          <w:szCs w:val="20"/>
          <w:lang w:val="en-GB"/>
        </w:rPr>
        <w:t xml:space="preserve"> get 63% less than the national average. </w:t>
      </w:r>
    </w:p>
    <w:p w:rsidR="00B41A6F" w:rsidRDefault="00D40EEC" w:rsidP="00213D30">
      <w:pPr>
        <w:jc w:val="both"/>
        <w:rPr>
          <w:rFonts w:cs="Times New Roman"/>
          <w:sz w:val="20"/>
          <w:szCs w:val="20"/>
          <w:lang w:val="en-GB"/>
        </w:rPr>
      </w:pPr>
      <w:r w:rsidRPr="00ED1790">
        <w:rPr>
          <w:sz w:val="20"/>
          <w:szCs w:val="20"/>
          <w:lang w:val="en-GB"/>
        </w:rPr>
        <w:t xml:space="preserve">While comparison with previous year’s RBA is analysis is far from perfect given the incorporation of new districts and new population figures, </w:t>
      </w:r>
      <w:r w:rsidRPr="00ED1790">
        <w:rPr>
          <w:rFonts w:cs="Times New Roman"/>
          <w:sz w:val="20"/>
          <w:szCs w:val="20"/>
          <w:lang w:val="en-GB"/>
        </w:rPr>
        <w:t xml:space="preserve">increasing standard deviation in per capita health block grant spending at the LGA level (from 0.43 to in FY 2012/2013 to 0.51 in FY 13/14) suggests that inequality in resource distribution might be widening amongst LGAs.  For FY 13/14, the variation </w:t>
      </w:r>
      <w:r w:rsidR="00B41A6F" w:rsidRPr="00ED1790">
        <w:rPr>
          <w:rFonts w:cs="Times New Roman"/>
          <w:sz w:val="20"/>
          <w:szCs w:val="20"/>
          <w:lang w:val="en-GB"/>
        </w:rPr>
        <w:t>is sligh</w:t>
      </w:r>
      <w:r w:rsidRPr="00ED1790">
        <w:rPr>
          <w:rFonts w:cs="Times New Roman"/>
          <w:sz w:val="20"/>
          <w:szCs w:val="20"/>
          <w:lang w:val="en-GB"/>
        </w:rPr>
        <w:t xml:space="preserve">tly lower in the OC than the PE (standard deviation of </w:t>
      </w:r>
      <w:r w:rsidR="00B41A6F" w:rsidRPr="00ED1790">
        <w:rPr>
          <w:rFonts w:cs="Times New Roman"/>
          <w:sz w:val="20"/>
          <w:szCs w:val="20"/>
          <w:lang w:val="en-GB"/>
        </w:rPr>
        <w:t>0.48 and 0.53 respectively</w:t>
      </w:r>
      <w:r w:rsidRPr="00ED1790">
        <w:rPr>
          <w:rFonts w:cs="Times New Roman"/>
          <w:sz w:val="20"/>
          <w:szCs w:val="20"/>
          <w:lang w:val="en-GB"/>
        </w:rPr>
        <w:t>)</w:t>
      </w:r>
      <w:r w:rsidR="00B41A6F" w:rsidRPr="00ED1790">
        <w:rPr>
          <w:rFonts w:cs="Times New Roman"/>
          <w:sz w:val="20"/>
          <w:szCs w:val="20"/>
          <w:lang w:val="en-GB"/>
        </w:rPr>
        <w:t>.</w:t>
      </w:r>
    </w:p>
    <w:p w:rsidR="00E04305" w:rsidRDefault="00E04305" w:rsidP="00213D30">
      <w:pPr>
        <w:jc w:val="both"/>
        <w:rPr>
          <w:rFonts w:cs="Times New Roman"/>
          <w:sz w:val="20"/>
          <w:szCs w:val="20"/>
          <w:lang w:val="en-GB"/>
        </w:rPr>
      </w:pPr>
      <w:r>
        <w:rPr>
          <w:rFonts w:cs="Times New Roman"/>
          <w:sz w:val="20"/>
          <w:szCs w:val="20"/>
          <w:lang w:val="en-GB"/>
        </w:rPr>
        <w:t xml:space="preserve">The relative </w:t>
      </w:r>
      <w:proofErr w:type="gramStart"/>
      <w:r>
        <w:rPr>
          <w:rFonts w:cs="Times New Roman"/>
          <w:sz w:val="20"/>
          <w:szCs w:val="20"/>
          <w:lang w:val="en-GB"/>
        </w:rPr>
        <w:t>level of long-standing inequalities in health resourcing are</w:t>
      </w:r>
      <w:proofErr w:type="gramEnd"/>
      <w:r>
        <w:rPr>
          <w:rFonts w:cs="Times New Roman"/>
          <w:sz w:val="20"/>
          <w:szCs w:val="20"/>
          <w:lang w:val="en-GB"/>
        </w:rPr>
        <w:t xml:space="preserve"> also reflected in HRH densities for skilled health staff (HRHIS). Inclusion of a Performance Assessment Framework indicator specifically aimed at improving availability of nursing staff in the most under-resourced districts has been jointly proposed by GOT and DPs for 2014. </w:t>
      </w:r>
    </w:p>
    <w:p w:rsidR="00E04305" w:rsidRPr="00F7293C" w:rsidRDefault="00E04305" w:rsidP="00213D30">
      <w:pPr>
        <w:jc w:val="both"/>
        <w:rPr>
          <w:b/>
          <w:lang w:val="en-GB"/>
        </w:rPr>
      </w:pPr>
    </w:p>
    <w:p w:rsidR="00B41A6F" w:rsidRPr="00F7293C" w:rsidRDefault="00F7293C" w:rsidP="002B727B">
      <w:pPr>
        <w:jc w:val="both"/>
        <w:rPr>
          <w:b/>
          <w:i/>
        </w:rPr>
      </w:pPr>
      <w:r w:rsidRPr="00F7293C">
        <w:rPr>
          <w:b/>
          <w:i/>
        </w:rPr>
        <w:t>Conclusion</w:t>
      </w:r>
    </w:p>
    <w:p w:rsidR="00B41A6F" w:rsidRDefault="00F7293C" w:rsidP="002B727B">
      <w:pPr>
        <w:jc w:val="both"/>
        <w:rPr>
          <w:sz w:val="20"/>
          <w:szCs w:val="20"/>
        </w:rPr>
      </w:pPr>
      <w:r>
        <w:rPr>
          <w:sz w:val="20"/>
          <w:szCs w:val="20"/>
        </w:rPr>
        <w:t>In summary, the GOT health sector budget has increased and</w:t>
      </w:r>
      <w:r w:rsidR="00E64E4F">
        <w:rPr>
          <w:sz w:val="20"/>
          <w:szCs w:val="20"/>
        </w:rPr>
        <w:t xml:space="preserve"> budget execution has improved. T</w:t>
      </w:r>
      <w:r>
        <w:rPr>
          <w:sz w:val="20"/>
          <w:szCs w:val="20"/>
        </w:rPr>
        <w:t>hat said</w:t>
      </w:r>
      <w:proofErr w:type="gramStart"/>
      <w:r>
        <w:rPr>
          <w:sz w:val="20"/>
          <w:szCs w:val="20"/>
        </w:rPr>
        <w:t>,</w:t>
      </w:r>
      <w:proofErr w:type="gramEnd"/>
      <w:r>
        <w:rPr>
          <w:sz w:val="20"/>
          <w:szCs w:val="20"/>
        </w:rPr>
        <w:t xml:space="preserve"> financial sustainability of the health sector </w:t>
      </w:r>
      <w:r w:rsidR="00170A6B">
        <w:rPr>
          <w:sz w:val="20"/>
          <w:szCs w:val="20"/>
        </w:rPr>
        <w:t>remains a</w:t>
      </w:r>
      <w:r>
        <w:rPr>
          <w:sz w:val="20"/>
          <w:szCs w:val="20"/>
        </w:rPr>
        <w:t xml:space="preserve"> considerable concern, particularly </w:t>
      </w:r>
      <w:r w:rsidR="00E64E4F">
        <w:rPr>
          <w:sz w:val="20"/>
          <w:szCs w:val="20"/>
        </w:rPr>
        <w:t>because</w:t>
      </w:r>
      <w:r>
        <w:rPr>
          <w:sz w:val="20"/>
          <w:szCs w:val="20"/>
        </w:rPr>
        <w:t xml:space="preserve"> donor </w:t>
      </w:r>
      <w:r w:rsidR="00E64E4F">
        <w:rPr>
          <w:sz w:val="20"/>
          <w:szCs w:val="20"/>
        </w:rPr>
        <w:t>funding (which is not necessarily predictable)</w:t>
      </w:r>
      <w:r>
        <w:rPr>
          <w:sz w:val="20"/>
          <w:szCs w:val="20"/>
        </w:rPr>
        <w:t xml:space="preserve"> appear</w:t>
      </w:r>
      <w:r w:rsidR="00E64E4F">
        <w:rPr>
          <w:sz w:val="20"/>
          <w:szCs w:val="20"/>
        </w:rPr>
        <w:t>s</w:t>
      </w:r>
      <w:r>
        <w:rPr>
          <w:sz w:val="20"/>
          <w:szCs w:val="20"/>
        </w:rPr>
        <w:t xml:space="preserve"> to be replacing</w:t>
      </w:r>
      <w:r w:rsidR="00E64E4F">
        <w:rPr>
          <w:sz w:val="20"/>
          <w:szCs w:val="20"/>
        </w:rPr>
        <w:t xml:space="preserve"> GOT local investment in health. </w:t>
      </w:r>
      <w:r w:rsidR="008118E4">
        <w:rPr>
          <w:sz w:val="20"/>
          <w:szCs w:val="20"/>
        </w:rPr>
        <w:t>This in turn has an impact on the accessibility of quality health care for Tanzan</w:t>
      </w:r>
      <w:r w:rsidR="00170A6B">
        <w:rPr>
          <w:sz w:val="20"/>
          <w:szCs w:val="20"/>
        </w:rPr>
        <w:t>ians. Therefore, the GOT and other national stakeholders should prioritize the development and implementation of s</w:t>
      </w:r>
      <w:r w:rsidR="00E64E4F">
        <w:rPr>
          <w:sz w:val="20"/>
          <w:szCs w:val="20"/>
        </w:rPr>
        <w:t xml:space="preserve">trategies for </w:t>
      </w:r>
      <w:r w:rsidR="00170A6B">
        <w:rPr>
          <w:sz w:val="20"/>
          <w:szCs w:val="20"/>
        </w:rPr>
        <w:t xml:space="preserve">strengthening domestic investment and fostering </w:t>
      </w:r>
      <w:r w:rsidR="00E64E4F">
        <w:rPr>
          <w:sz w:val="20"/>
          <w:szCs w:val="20"/>
        </w:rPr>
        <w:t>sustainability in the health</w:t>
      </w:r>
      <w:r w:rsidR="00170A6B">
        <w:rPr>
          <w:sz w:val="20"/>
          <w:szCs w:val="20"/>
        </w:rPr>
        <w:t xml:space="preserve"> sector.</w:t>
      </w:r>
    </w:p>
    <w:p w:rsidR="00E04305" w:rsidRDefault="00E348AF" w:rsidP="002809D8">
      <w:pPr>
        <w:rPr>
          <w:sz w:val="20"/>
          <w:szCs w:val="20"/>
        </w:rPr>
      </w:pPr>
      <w:r>
        <w:rPr>
          <w:sz w:val="20"/>
          <w:szCs w:val="20"/>
        </w:rPr>
        <w:t xml:space="preserve"> </w:t>
      </w:r>
      <w:r w:rsidR="00E04305">
        <w:rPr>
          <w:sz w:val="20"/>
          <w:szCs w:val="20"/>
        </w:rPr>
        <w:br w:type="page"/>
      </w:r>
    </w:p>
    <w:p w:rsidR="002809D8" w:rsidRPr="001D037C" w:rsidRDefault="002809D8" w:rsidP="002809D8">
      <w:pPr>
        <w:rPr>
          <w:sz w:val="20"/>
          <w:szCs w:val="20"/>
        </w:rPr>
      </w:pPr>
    </w:p>
    <w:p w:rsidR="002809D8" w:rsidRDefault="002809D8" w:rsidP="002809D8">
      <w:pPr>
        <w:pStyle w:val="Heading4"/>
      </w:pPr>
      <w:r>
        <w:t>Annex 1: What is Health?</w:t>
      </w:r>
    </w:p>
    <w:p w:rsidR="00F7293C" w:rsidRDefault="00F7293C" w:rsidP="00223704">
      <w:pPr>
        <w:tabs>
          <w:tab w:val="left" w:pos="2060"/>
        </w:tabs>
        <w:jc w:val="both"/>
        <w:rPr>
          <w:sz w:val="20"/>
          <w:szCs w:val="20"/>
        </w:rPr>
      </w:pPr>
    </w:p>
    <w:p w:rsidR="00223704" w:rsidRPr="00F7293C" w:rsidRDefault="00223704" w:rsidP="00223704">
      <w:pPr>
        <w:tabs>
          <w:tab w:val="left" w:pos="2060"/>
        </w:tabs>
        <w:jc w:val="both"/>
        <w:rPr>
          <w:rFonts w:cs="Arial"/>
          <w:color w:val="222222"/>
          <w:sz w:val="20"/>
          <w:szCs w:val="20"/>
          <w:shd w:val="clear" w:color="auto" w:fill="FFFFFF"/>
        </w:rPr>
      </w:pPr>
      <w:r w:rsidRPr="00F7293C">
        <w:rPr>
          <w:sz w:val="20"/>
          <w:szCs w:val="20"/>
        </w:rPr>
        <w:t>To harmonize understanding of the health sector within the GOT budget, the working group used the following boundaries to frame its health sector analysis.</w:t>
      </w:r>
      <w:r w:rsidR="001D037C" w:rsidRPr="00F7293C">
        <w:rPr>
          <w:sz w:val="20"/>
          <w:szCs w:val="20"/>
        </w:rPr>
        <w:t xml:space="preserve"> It should be noted that unlike previous years, HIV/AIDS investment is included as part of the health sector definition. </w:t>
      </w:r>
      <w:r w:rsidRPr="00F7293C">
        <w:rPr>
          <w:sz w:val="20"/>
          <w:szCs w:val="20"/>
        </w:rPr>
        <w:t xml:space="preserve"> </w:t>
      </w:r>
      <w:r w:rsidR="00CF65B7" w:rsidRPr="00F7293C">
        <w:rPr>
          <w:sz w:val="20"/>
          <w:szCs w:val="20"/>
        </w:rPr>
        <w:t xml:space="preserve">For purposes of this exercise, health does </w:t>
      </w:r>
      <w:r w:rsidR="00F7293C" w:rsidRPr="00F7293C">
        <w:rPr>
          <w:sz w:val="20"/>
          <w:szCs w:val="20"/>
        </w:rPr>
        <w:t xml:space="preserve">include NHIF contributions. It should be noted that the total GOT expenditure used in the denominator to calculate share of GOT spending on health excludes a portion but not all of Consolidated Fund Support – </w:t>
      </w:r>
      <w:r w:rsidR="00F7293C" w:rsidRPr="00F7293C">
        <w:rPr>
          <w:rFonts w:cs="Arial"/>
          <w:color w:val="222222"/>
          <w:sz w:val="20"/>
          <w:szCs w:val="20"/>
        </w:rPr>
        <w:t xml:space="preserve">specifically it excludes all repayment of principal </w:t>
      </w:r>
      <w:r w:rsidR="00F7293C" w:rsidRPr="00F7293C">
        <w:rPr>
          <w:rFonts w:cs="Arial"/>
          <w:color w:val="222222"/>
          <w:sz w:val="20"/>
          <w:szCs w:val="20"/>
          <w:shd w:val="clear" w:color="auto" w:fill="FFFFFF"/>
        </w:rPr>
        <w:t xml:space="preserve">but not interest payments and other items in State House and Public Debt/General Services.  </w:t>
      </w:r>
      <w:r w:rsidR="00F7293C">
        <w:rPr>
          <w:rFonts w:cs="Arial"/>
          <w:color w:val="222222"/>
          <w:sz w:val="20"/>
          <w:szCs w:val="20"/>
          <w:shd w:val="clear" w:color="auto" w:fill="FFFFFF"/>
        </w:rPr>
        <w:t xml:space="preserve">Another caveat to the health sector scope for the purposes of this RBA is that any salary readjustments that may have taken place in the health sector have not been addressed as this information was not readily available. </w:t>
      </w:r>
    </w:p>
    <w:p w:rsidR="00223704" w:rsidRPr="00CF65B7" w:rsidRDefault="00223704" w:rsidP="00223704">
      <w:pPr>
        <w:tabs>
          <w:tab w:val="left" w:pos="2060"/>
        </w:tabs>
        <w:jc w:val="both"/>
      </w:pPr>
    </w:p>
    <w:tbl>
      <w:tblPr>
        <w:tblStyle w:val="LightGrid"/>
        <w:tblW w:w="8740" w:type="dxa"/>
        <w:tblLook w:val="04A0" w:firstRow="1" w:lastRow="0" w:firstColumn="1" w:lastColumn="0" w:noHBand="0" w:noVBand="1"/>
      </w:tblPr>
      <w:tblGrid>
        <w:gridCol w:w="1369"/>
        <w:gridCol w:w="3681"/>
        <w:gridCol w:w="1350"/>
        <w:gridCol w:w="2340"/>
      </w:tblGrid>
      <w:tr w:rsidR="00F7293C" w:rsidRPr="00F7293C" w:rsidTr="00F7293C">
        <w:trPr>
          <w:cnfStyle w:val="100000000000" w:firstRow="1" w:lastRow="0" w:firstColumn="0" w:lastColumn="0" w:oddVBand="0" w:evenVBand="0" w:oddHBand="0"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5050" w:type="dxa"/>
            <w:gridSpan w:val="2"/>
            <w:hideMark/>
          </w:tcPr>
          <w:p w:rsidR="00F7293C" w:rsidRPr="00F7293C" w:rsidRDefault="00F7293C" w:rsidP="00F7293C">
            <w:pPr>
              <w:spacing w:after="0" w:line="240" w:lineRule="auto"/>
              <w:jc w:val="center"/>
              <w:rPr>
                <w:rFonts w:asciiTheme="minorHAnsi" w:eastAsia="Times New Roman" w:hAnsiTheme="minorHAnsi" w:cs="Calibri"/>
                <w:sz w:val="16"/>
                <w:szCs w:val="16"/>
              </w:rPr>
            </w:pPr>
            <w:r w:rsidRPr="00F7293C">
              <w:rPr>
                <w:rFonts w:asciiTheme="minorHAnsi" w:eastAsia="Times New Roman" w:hAnsiTheme="minorHAnsi" w:cs="Calibri"/>
                <w:sz w:val="16"/>
                <w:szCs w:val="16"/>
              </w:rPr>
              <w:t>To Include</w:t>
            </w:r>
          </w:p>
        </w:tc>
        <w:tc>
          <w:tcPr>
            <w:tcW w:w="3690" w:type="dxa"/>
            <w:gridSpan w:val="2"/>
            <w:hideMark/>
          </w:tcPr>
          <w:p w:rsidR="00F7293C" w:rsidRPr="00F7293C" w:rsidRDefault="00F7293C" w:rsidP="00F7293C">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Calibri"/>
                <w:sz w:val="16"/>
                <w:szCs w:val="16"/>
              </w:rPr>
            </w:pPr>
            <w:r w:rsidRPr="00F7293C">
              <w:rPr>
                <w:rFonts w:asciiTheme="minorHAnsi" w:eastAsia="Times New Roman" w:hAnsiTheme="minorHAnsi" w:cs="Calibri"/>
                <w:sz w:val="16"/>
                <w:szCs w:val="16"/>
              </w:rPr>
              <w:t>To Exclude</w:t>
            </w:r>
          </w:p>
        </w:tc>
      </w:tr>
      <w:tr w:rsidR="00F7293C" w:rsidRPr="00F7293C" w:rsidTr="00F7293C">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369" w:type="dxa"/>
            <w:hideMark/>
          </w:tcPr>
          <w:p w:rsidR="00F7293C" w:rsidRPr="00F7293C" w:rsidRDefault="00F7293C" w:rsidP="00F7293C">
            <w:pPr>
              <w:spacing w:after="0" w:line="240" w:lineRule="auto"/>
              <w:jc w:val="right"/>
              <w:rPr>
                <w:rFonts w:asciiTheme="minorHAnsi" w:eastAsia="Times New Roman" w:hAnsiTheme="minorHAnsi" w:cs="Calibri"/>
                <w:sz w:val="16"/>
                <w:szCs w:val="16"/>
              </w:rPr>
            </w:pPr>
            <w:r w:rsidRPr="00F7293C">
              <w:rPr>
                <w:rFonts w:asciiTheme="minorHAnsi" w:eastAsia="Times New Roman" w:hAnsiTheme="minorHAnsi" w:cs="Calibri"/>
                <w:sz w:val="16"/>
                <w:szCs w:val="16"/>
              </w:rPr>
              <w:t>Number</w:t>
            </w:r>
          </w:p>
        </w:tc>
        <w:tc>
          <w:tcPr>
            <w:tcW w:w="3681" w:type="dxa"/>
            <w:hideMark/>
          </w:tcPr>
          <w:p w:rsidR="00F7293C" w:rsidRPr="00F7293C" w:rsidRDefault="00F7293C" w:rsidP="00F7293C">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b/>
                <w:bCs/>
                <w:sz w:val="16"/>
                <w:szCs w:val="16"/>
              </w:rPr>
            </w:pPr>
            <w:r w:rsidRPr="00F7293C">
              <w:rPr>
                <w:rFonts w:eastAsia="Times New Roman" w:cs="Calibri"/>
                <w:b/>
                <w:bCs/>
                <w:sz w:val="16"/>
                <w:szCs w:val="16"/>
              </w:rPr>
              <w:t>Description</w:t>
            </w:r>
          </w:p>
        </w:tc>
        <w:tc>
          <w:tcPr>
            <w:tcW w:w="1350" w:type="dxa"/>
            <w:hideMark/>
          </w:tcPr>
          <w:p w:rsidR="00F7293C" w:rsidRPr="00F7293C" w:rsidRDefault="00F7293C" w:rsidP="00F7293C">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Calibri"/>
                <w:b/>
                <w:bCs/>
                <w:sz w:val="16"/>
                <w:szCs w:val="16"/>
              </w:rPr>
            </w:pPr>
            <w:r w:rsidRPr="00F7293C">
              <w:rPr>
                <w:rFonts w:eastAsia="Times New Roman" w:cs="Calibri"/>
                <w:b/>
                <w:bCs/>
                <w:sz w:val="16"/>
                <w:szCs w:val="16"/>
              </w:rPr>
              <w:t>Number</w:t>
            </w:r>
          </w:p>
        </w:tc>
        <w:tc>
          <w:tcPr>
            <w:tcW w:w="2340" w:type="dxa"/>
            <w:hideMark/>
          </w:tcPr>
          <w:p w:rsidR="00F7293C" w:rsidRPr="00F7293C" w:rsidRDefault="00F7293C" w:rsidP="00F7293C">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b/>
                <w:bCs/>
                <w:sz w:val="16"/>
                <w:szCs w:val="16"/>
              </w:rPr>
            </w:pPr>
            <w:r w:rsidRPr="00F7293C">
              <w:rPr>
                <w:rFonts w:eastAsia="Times New Roman" w:cs="Calibri"/>
                <w:b/>
                <w:bCs/>
                <w:sz w:val="16"/>
                <w:szCs w:val="16"/>
              </w:rPr>
              <w:t>Description</w:t>
            </w:r>
          </w:p>
        </w:tc>
      </w:tr>
      <w:tr w:rsidR="00F7293C" w:rsidRPr="00F7293C" w:rsidTr="00F7293C">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369" w:type="dxa"/>
            <w:hideMark/>
          </w:tcPr>
          <w:p w:rsidR="00F7293C" w:rsidRPr="00F7293C" w:rsidRDefault="00F7293C" w:rsidP="00F7293C">
            <w:pPr>
              <w:spacing w:after="0" w:line="240" w:lineRule="auto"/>
              <w:rPr>
                <w:rFonts w:asciiTheme="minorHAnsi" w:eastAsia="Times New Roman" w:hAnsiTheme="minorHAnsi" w:cs="Calibri"/>
                <w:color w:val="000000"/>
                <w:sz w:val="16"/>
                <w:szCs w:val="16"/>
              </w:rPr>
            </w:pPr>
            <w:r w:rsidRPr="00F7293C">
              <w:rPr>
                <w:rFonts w:asciiTheme="minorHAnsi" w:eastAsia="Times New Roman" w:hAnsiTheme="minorHAnsi" w:cs="Calibri"/>
                <w:color w:val="000000"/>
                <w:sz w:val="16"/>
                <w:szCs w:val="16"/>
              </w:rPr>
              <w:t>6 GFS code number:</w:t>
            </w:r>
          </w:p>
        </w:tc>
        <w:tc>
          <w:tcPr>
            <w:tcW w:w="3681" w:type="dxa"/>
            <w:hideMark/>
          </w:tcPr>
          <w:p w:rsidR="00F7293C" w:rsidRPr="00F7293C" w:rsidRDefault="00F7293C" w:rsidP="00F7293C">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Calibri"/>
                <w:b/>
                <w:bCs/>
                <w:color w:val="000000"/>
                <w:sz w:val="16"/>
                <w:szCs w:val="16"/>
              </w:rPr>
            </w:pPr>
            <w:r w:rsidRPr="00F7293C">
              <w:rPr>
                <w:rFonts w:eastAsia="Times New Roman" w:cs="Calibri"/>
                <w:b/>
                <w:bCs/>
                <w:color w:val="000000"/>
                <w:sz w:val="16"/>
                <w:szCs w:val="16"/>
              </w:rPr>
              <w:t> </w:t>
            </w:r>
          </w:p>
        </w:tc>
        <w:tc>
          <w:tcPr>
            <w:tcW w:w="1350" w:type="dxa"/>
            <w:hideMark/>
          </w:tcPr>
          <w:p w:rsidR="00F7293C" w:rsidRPr="00F7293C" w:rsidRDefault="00F7293C" w:rsidP="00F7293C">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Calibri"/>
                <w:color w:val="000000"/>
                <w:sz w:val="16"/>
                <w:szCs w:val="16"/>
              </w:rPr>
            </w:pPr>
            <w:r w:rsidRPr="00F7293C">
              <w:rPr>
                <w:rFonts w:eastAsia="Times New Roman" w:cs="Calibri"/>
                <w:color w:val="000000"/>
                <w:sz w:val="16"/>
                <w:szCs w:val="16"/>
              </w:rPr>
              <w:t> </w:t>
            </w:r>
          </w:p>
        </w:tc>
        <w:tc>
          <w:tcPr>
            <w:tcW w:w="2340" w:type="dxa"/>
            <w:hideMark/>
          </w:tcPr>
          <w:p w:rsidR="00F7293C" w:rsidRPr="00F7293C" w:rsidRDefault="00F7293C" w:rsidP="00F7293C">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Calibri"/>
                <w:color w:val="000000"/>
                <w:sz w:val="16"/>
                <w:szCs w:val="16"/>
              </w:rPr>
            </w:pPr>
            <w:r w:rsidRPr="00F7293C">
              <w:rPr>
                <w:rFonts w:eastAsia="Times New Roman" w:cs="Calibri"/>
                <w:color w:val="000000"/>
                <w:sz w:val="16"/>
                <w:szCs w:val="16"/>
              </w:rPr>
              <w:t> </w:t>
            </w:r>
          </w:p>
        </w:tc>
      </w:tr>
      <w:tr w:rsidR="00F7293C" w:rsidRPr="00F7293C" w:rsidTr="00F7293C">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369" w:type="dxa"/>
            <w:hideMark/>
          </w:tcPr>
          <w:p w:rsidR="00F7293C" w:rsidRPr="00F7293C" w:rsidRDefault="00F7293C" w:rsidP="00F7293C">
            <w:pPr>
              <w:spacing w:after="0" w:line="240" w:lineRule="auto"/>
              <w:jc w:val="right"/>
              <w:rPr>
                <w:rFonts w:asciiTheme="minorHAnsi" w:eastAsia="Times New Roman" w:hAnsiTheme="minorHAnsi" w:cs="Calibri"/>
                <w:color w:val="000000"/>
                <w:sz w:val="16"/>
                <w:szCs w:val="16"/>
              </w:rPr>
            </w:pPr>
            <w:r w:rsidRPr="00F7293C">
              <w:rPr>
                <w:rFonts w:asciiTheme="minorHAnsi" w:eastAsia="Times New Roman" w:hAnsiTheme="minorHAnsi" w:cs="Calibri"/>
                <w:color w:val="000000"/>
                <w:sz w:val="16"/>
                <w:szCs w:val="16"/>
              </w:rPr>
              <w:t>210319</w:t>
            </w:r>
          </w:p>
        </w:tc>
        <w:tc>
          <w:tcPr>
            <w:tcW w:w="3681" w:type="dxa"/>
            <w:hideMark/>
          </w:tcPr>
          <w:p w:rsidR="00F7293C" w:rsidRPr="00F7293C" w:rsidRDefault="00F7293C" w:rsidP="00F7293C">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rPr>
            </w:pPr>
            <w:r w:rsidRPr="00F7293C">
              <w:rPr>
                <w:rFonts w:eastAsia="Times New Roman" w:cs="Calibri"/>
                <w:color w:val="000000"/>
                <w:sz w:val="16"/>
                <w:szCs w:val="16"/>
              </w:rPr>
              <w:t>Medical and Dental Refunds</w:t>
            </w:r>
            <w:r w:rsidRPr="00F7293C">
              <w:rPr>
                <w:rFonts w:eastAsia="Times New Roman" w:cs="Calibri"/>
                <w:color w:val="538DD5"/>
                <w:sz w:val="16"/>
                <w:szCs w:val="16"/>
              </w:rPr>
              <w:t xml:space="preserve"> </w:t>
            </w:r>
          </w:p>
        </w:tc>
        <w:tc>
          <w:tcPr>
            <w:tcW w:w="1350" w:type="dxa"/>
            <w:hideMark/>
          </w:tcPr>
          <w:p w:rsidR="00F7293C" w:rsidRPr="00F7293C" w:rsidRDefault="00F7293C" w:rsidP="00F7293C">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rPr>
            </w:pPr>
            <w:r w:rsidRPr="00F7293C">
              <w:rPr>
                <w:rFonts w:eastAsia="Times New Roman" w:cs="Calibri"/>
                <w:color w:val="000000"/>
                <w:sz w:val="16"/>
                <w:szCs w:val="16"/>
              </w:rPr>
              <w:t>231101</w:t>
            </w:r>
          </w:p>
        </w:tc>
        <w:tc>
          <w:tcPr>
            <w:tcW w:w="2340" w:type="dxa"/>
            <w:hideMark/>
          </w:tcPr>
          <w:p w:rsidR="00F7293C" w:rsidRPr="00F7293C" w:rsidRDefault="00F7293C" w:rsidP="00F7293C">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rPr>
            </w:pPr>
            <w:r w:rsidRPr="00F7293C">
              <w:rPr>
                <w:rFonts w:eastAsia="Times New Roman" w:cs="Calibri"/>
                <w:color w:val="000000"/>
                <w:sz w:val="16"/>
                <w:szCs w:val="16"/>
              </w:rPr>
              <w:t xml:space="preserve">Other routine maintenance </w:t>
            </w:r>
            <w:proofErr w:type="spellStart"/>
            <w:r w:rsidRPr="00F7293C">
              <w:rPr>
                <w:rFonts w:eastAsia="Times New Roman" w:cs="Calibri"/>
                <w:color w:val="000000"/>
                <w:sz w:val="16"/>
                <w:szCs w:val="16"/>
              </w:rPr>
              <w:t>exp</w:t>
            </w:r>
            <w:proofErr w:type="spellEnd"/>
            <w:r w:rsidRPr="00F7293C">
              <w:rPr>
                <w:rFonts w:eastAsia="Times New Roman" w:cs="Calibri"/>
                <w:color w:val="000000"/>
                <w:sz w:val="16"/>
                <w:szCs w:val="16"/>
              </w:rPr>
              <w:t xml:space="preserve"> (medical and lab equip) EXCLUDE Ministry of Finance</w:t>
            </w:r>
          </w:p>
        </w:tc>
      </w:tr>
      <w:tr w:rsidR="00F7293C" w:rsidRPr="00F7293C" w:rsidTr="00F7293C">
        <w:trPr>
          <w:cnfStyle w:val="000000010000" w:firstRow="0" w:lastRow="0" w:firstColumn="0" w:lastColumn="0" w:oddVBand="0" w:evenVBand="0" w:oddHBand="0" w:evenHBand="1" w:firstRowFirstColumn="0" w:firstRowLastColumn="0" w:lastRowFirstColumn="0" w:lastRowLastColumn="0"/>
          <w:trHeight w:val="818"/>
        </w:trPr>
        <w:tc>
          <w:tcPr>
            <w:cnfStyle w:val="001000000000" w:firstRow="0" w:lastRow="0" w:firstColumn="1" w:lastColumn="0" w:oddVBand="0" w:evenVBand="0" w:oddHBand="0" w:evenHBand="0" w:firstRowFirstColumn="0" w:firstRowLastColumn="0" w:lastRowFirstColumn="0" w:lastRowLastColumn="0"/>
            <w:tcW w:w="1369" w:type="dxa"/>
            <w:hideMark/>
          </w:tcPr>
          <w:p w:rsidR="00F7293C" w:rsidRPr="00F7293C" w:rsidRDefault="00F7293C" w:rsidP="00F7293C">
            <w:pPr>
              <w:spacing w:after="0" w:line="240" w:lineRule="auto"/>
              <w:jc w:val="right"/>
              <w:rPr>
                <w:rFonts w:asciiTheme="minorHAnsi" w:eastAsia="Times New Roman" w:hAnsiTheme="minorHAnsi" w:cs="Calibri"/>
                <w:color w:val="000000"/>
                <w:sz w:val="16"/>
                <w:szCs w:val="16"/>
              </w:rPr>
            </w:pPr>
            <w:r w:rsidRPr="00F7293C">
              <w:rPr>
                <w:rFonts w:asciiTheme="minorHAnsi" w:eastAsia="Times New Roman" w:hAnsiTheme="minorHAnsi" w:cs="Calibri"/>
                <w:color w:val="000000"/>
                <w:sz w:val="16"/>
                <w:szCs w:val="16"/>
              </w:rPr>
              <w:t>231101</w:t>
            </w:r>
          </w:p>
        </w:tc>
        <w:tc>
          <w:tcPr>
            <w:tcW w:w="3681" w:type="dxa"/>
            <w:hideMark/>
          </w:tcPr>
          <w:p w:rsidR="00F7293C" w:rsidRPr="00F7293C" w:rsidRDefault="00F7293C" w:rsidP="00F7293C">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Calibri"/>
                <w:color w:val="000000"/>
                <w:sz w:val="16"/>
                <w:szCs w:val="16"/>
              </w:rPr>
            </w:pPr>
            <w:r w:rsidRPr="00F7293C">
              <w:rPr>
                <w:rFonts w:eastAsia="Times New Roman" w:cs="Calibri"/>
                <w:color w:val="000000"/>
                <w:sz w:val="16"/>
                <w:szCs w:val="16"/>
              </w:rPr>
              <w:t xml:space="preserve">Other routine maintenance </w:t>
            </w:r>
            <w:proofErr w:type="spellStart"/>
            <w:r w:rsidRPr="00F7293C">
              <w:rPr>
                <w:rFonts w:eastAsia="Times New Roman" w:cs="Calibri"/>
                <w:color w:val="000000"/>
                <w:sz w:val="16"/>
                <w:szCs w:val="16"/>
              </w:rPr>
              <w:t>exp</w:t>
            </w:r>
            <w:proofErr w:type="spellEnd"/>
            <w:r w:rsidRPr="00F7293C">
              <w:rPr>
                <w:rFonts w:eastAsia="Times New Roman" w:cs="Calibri"/>
                <w:color w:val="000000"/>
                <w:sz w:val="16"/>
                <w:szCs w:val="16"/>
              </w:rPr>
              <w:t xml:space="preserve"> (medical and lab equip) INCLUDE Ministry of MOHSW and Ministry of </w:t>
            </w:r>
            <w:proofErr w:type="spellStart"/>
            <w:r w:rsidRPr="00F7293C">
              <w:rPr>
                <w:rFonts w:eastAsia="Times New Roman" w:cs="Calibri"/>
                <w:color w:val="000000"/>
                <w:sz w:val="16"/>
                <w:szCs w:val="16"/>
              </w:rPr>
              <w:t>Agricultrue</w:t>
            </w:r>
            <w:proofErr w:type="spellEnd"/>
          </w:p>
        </w:tc>
        <w:tc>
          <w:tcPr>
            <w:tcW w:w="1350" w:type="dxa"/>
            <w:hideMark/>
          </w:tcPr>
          <w:p w:rsidR="00F7293C" w:rsidRPr="00F7293C" w:rsidRDefault="00F7293C" w:rsidP="00F7293C">
            <w:pPr>
              <w:spacing w:after="0" w:line="240" w:lineRule="auto"/>
              <w:jc w:val="right"/>
              <w:cnfStyle w:val="000000010000" w:firstRow="0" w:lastRow="0" w:firstColumn="0" w:lastColumn="0" w:oddVBand="0" w:evenVBand="0" w:oddHBand="0" w:evenHBand="1" w:firstRowFirstColumn="0" w:firstRowLastColumn="0" w:lastRowFirstColumn="0" w:lastRowLastColumn="0"/>
              <w:rPr>
                <w:rFonts w:eastAsia="Times New Roman" w:cs="Calibri"/>
                <w:color w:val="000000"/>
                <w:sz w:val="16"/>
                <w:szCs w:val="16"/>
              </w:rPr>
            </w:pPr>
            <w:r w:rsidRPr="00F7293C">
              <w:rPr>
                <w:rFonts w:eastAsia="Times New Roman" w:cs="Calibri"/>
                <w:color w:val="000000"/>
                <w:sz w:val="16"/>
                <w:szCs w:val="16"/>
              </w:rPr>
              <w:t>220905</w:t>
            </w:r>
          </w:p>
        </w:tc>
        <w:tc>
          <w:tcPr>
            <w:tcW w:w="2340" w:type="dxa"/>
            <w:hideMark/>
          </w:tcPr>
          <w:p w:rsidR="00F7293C" w:rsidRPr="00F7293C" w:rsidRDefault="00F7293C" w:rsidP="00F7293C">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Calibri"/>
                <w:color w:val="000000"/>
                <w:sz w:val="16"/>
                <w:szCs w:val="16"/>
              </w:rPr>
            </w:pPr>
            <w:r w:rsidRPr="00F7293C">
              <w:rPr>
                <w:rFonts w:eastAsia="Times New Roman" w:cs="Calibri"/>
                <w:color w:val="000000"/>
                <w:sz w:val="16"/>
                <w:szCs w:val="16"/>
              </w:rPr>
              <w:t>Health Insurance Training foreign</w:t>
            </w:r>
          </w:p>
        </w:tc>
      </w:tr>
      <w:tr w:rsidR="00F7293C" w:rsidRPr="00F7293C" w:rsidTr="00F7293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369" w:type="dxa"/>
            <w:hideMark/>
          </w:tcPr>
          <w:p w:rsidR="00F7293C" w:rsidRPr="00F7293C" w:rsidRDefault="00F7293C" w:rsidP="00F7293C">
            <w:pPr>
              <w:spacing w:after="0" w:line="240" w:lineRule="auto"/>
              <w:jc w:val="right"/>
              <w:rPr>
                <w:rFonts w:asciiTheme="minorHAnsi" w:eastAsia="Times New Roman" w:hAnsiTheme="minorHAnsi" w:cs="Calibri"/>
                <w:color w:val="000000"/>
                <w:sz w:val="16"/>
                <w:szCs w:val="16"/>
              </w:rPr>
            </w:pPr>
            <w:r w:rsidRPr="00F7293C">
              <w:rPr>
                <w:rFonts w:asciiTheme="minorHAnsi" w:eastAsia="Times New Roman" w:hAnsiTheme="minorHAnsi" w:cs="Calibri"/>
                <w:color w:val="000000"/>
                <w:sz w:val="16"/>
                <w:szCs w:val="16"/>
              </w:rPr>
              <w:t>220526</w:t>
            </w:r>
          </w:p>
        </w:tc>
        <w:tc>
          <w:tcPr>
            <w:tcW w:w="3681" w:type="dxa"/>
            <w:hideMark/>
          </w:tcPr>
          <w:p w:rsidR="00F7293C" w:rsidRPr="00F7293C" w:rsidRDefault="00F7293C" w:rsidP="00F7293C">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rPr>
            </w:pPr>
            <w:r w:rsidRPr="00F7293C">
              <w:rPr>
                <w:rFonts w:eastAsia="Times New Roman" w:cs="Calibri"/>
                <w:color w:val="000000"/>
                <w:sz w:val="16"/>
                <w:szCs w:val="16"/>
              </w:rPr>
              <w:t>Medical Practitioners</w:t>
            </w:r>
          </w:p>
        </w:tc>
        <w:tc>
          <w:tcPr>
            <w:tcW w:w="1350" w:type="dxa"/>
            <w:hideMark/>
          </w:tcPr>
          <w:p w:rsidR="00F7293C" w:rsidRPr="00F7293C" w:rsidRDefault="00F7293C" w:rsidP="00F7293C">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rPr>
            </w:pPr>
            <w:r w:rsidRPr="00F7293C">
              <w:rPr>
                <w:rFonts w:eastAsia="Times New Roman" w:cs="Calibri"/>
                <w:color w:val="000000"/>
                <w:sz w:val="16"/>
                <w:szCs w:val="16"/>
              </w:rPr>
              <w:t>229930</w:t>
            </w:r>
          </w:p>
        </w:tc>
        <w:tc>
          <w:tcPr>
            <w:tcW w:w="2340" w:type="dxa"/>
            <w:hideMark/>
          </w:tcPr>
          <w:p w:rsidR="00F7293C" w:rsidRPr="00F7293C" w:rsidRDefault="00F7293C" w:rsidP="00F7293C">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rPr>
            </w:pPr>
            <w:r w:rsidRPr="00F7293C">
              <w:rPr>
                <w:rFonts w:eastAsia="Times New Roman" w:cs="Calibri"/>
                <w:color w:val="000000"/>
                <w:sz w:val="16"/>
                <w:szCs w:val="16"/>
              </w:rPr>
              <w:t xml:space="preserve">Contingency </w:t>
            </w:r>
          </w:p>
        </w:tc>
      </w:tr>
      <w:tr w:rsidR="00F7293C" w:rsidRPr="00F7293C" w:rsidTr="00F7293C">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369" w:type="dxa"/>
            <w:hideMark/>
          </w:tcPr>
          <w:p w:rsidR="00F7293C" w:rsidRPr="00F7293C" w:rsidRDefault="00F7293C" w:rsidP="00F7293C">
            <w:pPr>
              <w:spacing w:after="0" w:line="240" w:lineRule="auto"/>
              <w:jc w:val="right"/>
              <w:rPr>
                <w:rFonts w:asciiTheme="minorHAnsi" w:eastAsia="Times New Roman" w:hAnsiTheme="minorHAnsi" w:cs="Calibri"/>
                <w:color w:val="000000"/>
                <w:sz w:val="16"/>
                <w:szCs w:val="16"/>
              </w:rPr>
            </w:pPr>
            <w:r w:rsidRPr="00F7293C">
              <w:rPr>
                <w:rFonts w:asciiTheme="minorHAnsi" w:eastAsia="Times New Roman" w:hAnsiTheme="minorHAnsi" w:cs="Calibri"/>
                <w:color w:val="000000"/>
                <w:sz w:val="16"/>
                <w:szCs w:val="16"/>
              </w:rPr>
              <w:t>260603</w:t>
            </w:r>
          </w:p>
        </w:tc>
        <w:tc>
          <w:tcPr>
            <w:tcW w:w="3681" w:type="dxa"/>
            <w:hideMark/>
          </w:tcPr>
          <w:p w:rsidR="00F7293C" w:rsidRPr="00F7293C" w:rsidRDefault="00F7293C" w:rsidP="00F7293C">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Calibri"/>
                <w:color w:val="000000"/>
                <w:sz w:val="16"/>
                <w:szCs w:val="16"/>
              </w:rPr>
            </w:pPr>
            <w:r w:rsidRPr="00F7293C">
              <w:rPr>
                <w:rFonts w:eastAsia="Times New Roman" w:cs="Calibri"/>
                <w:color w:val="000000"/>
                <w:sz w:val="16"/>
                <w:szCs w:val="16"/>
              </w:rPr>
              <w:t>KCMC</w:t>
            </w:r>
          </w:p>
        </w:tc>
        <w:tc>
          <w:tcPr>
            <w:tcW w:w="1350" w:type="dxa"/>
            <w:hideMark/>
          </w:tcPr>
          <w:p w:rsidR="00F7293C" w:rsidRPr="00F7293C" w:rsidRDefault="00F7293C" w:rsidP="00F7293C">
            <w:pPr>
              <w:spacing w:after="0" w:line="240" w:lineRule="auto"/>
              <w:jc w:val="right"/>
              <w:cnfStyle w:val="000000010000" w:firstRow="0" w:lastRow="0" w:firstColumn="0" w:lastColumn="0" w:oddVBand="0" w:evenVBand="0" w:oddHBand="0" w:evenHBand="1" w:firstRowFirstColumn="0" w:firstRowLastColumn="0" w:lastRowFirstColumn="0" w:lastRowLastColumn="0"/>
              <w:rPr>
                <w:rFonts w:eastAsia="Times New Roman" w:cs="Calibri"/>
                <w:color w:val="000000"/>
                <w:sz w:val="16"/>
                <w:szCs w:val="16"/>
              </w:rPr>
            </w:pPr>
            <w:r w:rsidRPr="00F7293C">
              <w:rPr>
                <w:rFonts w:eastAsia="Times New Roman" w:cs="Calibri"/>
                <w:color w:val="000000"/>
                <w:sz w:val="16"/>
                <w:szCs w:val="16"/>
              </w:rPr>
              <w:t>230501</w:t>
            </w:r>
          </w:p>
        </w:tc>
        <w:tc>
          <w:tcPr>
            <w:tcW w:w="2340" w:type="dxa"/>
            <w:hideMark/>
          </w:tcPr>
          <w:p w:rsidR="00F7293C" w:rsidRPr="00F7293C" w:rsidRDefault="00F7293C" w:rsidP="00F7293C">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Calibri"/>
                <w:color w:val="000000"/>
                <w:sz w:val="16"/>
                <w:szCs w:val="16"/>
              </w:rPr>
            </w:pPr>
            <w:r w:rsidRPr="00F7293C">
              <w:rPr>
                <w:rFonts w:eastAsia="Times New Roman" w:cs="Calibri"/>
                <w:color w:val="000000"/>
                <w:sz w:val="16"/>
                <w:szCs w:val="16"/>
              </w:rPr>
              <w:t>X-rays  (seems to only in M of Defense)</w:t>
            </w:r>
          </w:p>
        </w:tc>
      </w:tr>
      <w:tr w:rsidR="00F7293C" w:rsidRPr="00F7293C" w:rsidTr="00F7293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369" w:type="dxa"/>
            <w:hideMark/>
          </w:tcPr>
          <w:p w:rsidR="00F7293C" w:rsidRPr="00F7293C" w:rsidRDefault="00F7293C" w:rsidP="00F7293C">
            <w:pPr>
              <w:spacing w:after="0" w:line="240" w:lineRule="auto"/>
              <w:jc w:val="right"/>
              <w:rPr>
                <w:rFonts w:asciiTheme="minorHAnsi" w:eastAsia="Times New Roman" w:hAnsiTheme="minorHAnsi" w:cs="Calibri"/>
                <w:color w:val="000000"/>
                <w:sz w:val="16"/>
                <w:szCs w:val="16"/>
              </w:rPr>
            </w:pPr>
            <w:r w:rsidRPr="00F7293C">
              <w:rPr>
                <w:rFonts w:asciiTheme="minorHAnsi" w:eastAsia="Times New Roman" w:hAnsiTheme="minorHAnsi" w:cs="Calibri"/>
                <w:color w:val="000000"/>
                <w:sz w:val="16"/>
                <w:szCs w:val="16"/>
              </w:rPr>
              <w:t>260604</w:t>
            </w:r>
          </w:p>
        </w:tc>
        <w:tc>
          <w:tcPr>
            <w:tcW w:w="3681" w:type="dxa"/>
            <w:hideMark/>
          </w:tcPr>
          <w:p w:rsidR="00F7293C" w:rsidRPr="00F7293C" w:rsidRDefault="00F7293C" w:rsidP="00F7293C">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rPr>
            </w:pPr>
            <w:r w:rsidRPr="00F7293C">
              <w:rPr>
                <w:rFonts w:eastAsia="Times New Roman" w:cs="Calibri"/>
                <w:color w:val="000000"/>
                <w:sz w:val="16"/>
                <w:szCs w:val="16"/>
              </w:rPr>
              <w:t>XX hospital</w:t>
            </w:r>
          </w:p>
        </w:tc>
        <w:tc>
          <w:tcPr>
            <w:tcW w:w="1350" w:type="dxa"/>
            <w:hideMark/>
          </w:tcPr>
          <w:p w:rsidR="00F7293C" w:rsidRPr="00F7293C" w:rsidRDefault="00F7293C" w:rsidP="00F7293C">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rPr>
            </w:pPr>
            <w:r w:rsidRPr="00F7293C">
              <w:rPr>
                <w:rFonts w:eastAsia="Times New Roman" w:cs="Calibri"/>
                <w:color w:val="000000"/>
                <w:sz w:val="16"/>
                <w:szCs w:val="16"/>
              </w:rPr>
              <w:t>230503</w:t>
            </w:r>
          </w:p>
        </w:tc>
        <w:tc>
          <w:tcPr>
            <w:tcW w:w="2340" w:type="dxa"/>
            <w:hideMark/>
          </w:tcPr>
          <w:p w:rsidR="00F7293C" w:rsidRPr="00F7293C" w:rsidRDefault="00F7293C" w:rsidP="00F7293C">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rPr>
            </w:pPr>
            <w:r w:rsidRPr="00F7293C">
              <w:rPr>
                <w:rFonts w:eastAsia="Times New Roman" w:cs="Calibri"/>
                <w:color w:val="000000"/>
                <w:sz w:val="16"/>
                <w:szCs w:val="16"/>
              </w:rPr>
              <w:t>Ultrasound Equip (seems to be only in M of Defense)</w:t>
            </w:r>
          </w:p>
        </w:tc>
      </w:tr>
      <w:tr w:rsidR="00F7293C" w:rsidRPr="00F7293C" w:rsidTr="00F7293C">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369" w:type="dxa"/>
            <w:hideMark/>
          </w:tcPr>
          <w:p w:rsidR="00F7293C" w:rsidRPr="00F7293C" w:rsidRDefault="00F7293C" w:rsidP="00F7293C">
            <w:pPr>
              <w:spacing w:after="0" w:line="240" w:lineRule="auto"/>
              <w:jc w:val="right"/>
              <w:rPr>
                <w:rFonts w:asciiTheme="minorHAnsi" w:eastAsia="Times New Roman" w:hAnsiTheme="minorHAnsi" w:cs="Calibri"/>
                <w:color w:val="000000"/>
                <w:sz w:val="16"/>
                <w:szCs w:val="16"/>
              </w:rPr>
            </w:pPr>
            <w:r w:rsidRPr="00F7293C">
              <w:rPr>
                <w:rFonts w:asciiTheme="minorHAnsi" w:eastAsia="Times New Roman" w:hAnsiTheme="minorHAnsi" w:cs="Calibri"/>
                <w:color w:val="000000"/>
                <w:sz w:val="16"/>
                <w:szCs w:val="16"/>
              </w:rPr>
              <w:t>260605</w:t>
            </w:r>
          </w:p>
        </w:tc>
        <w:tc>
          <w:tcPr>
            <w:tcW w:w="3681" w:type="dxa"/>
            <w:hideMark/>
          </w:tcPr>
          <w:p w:rsidR="00F7293C" w:rsidRPr="00F7293C" w:rsidRDefault="00F7293C" w:rsidP="00F7293C">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Calibri"/>
                <w:color w:val="000000"/>
                <w:sz w:val="16"/>
                <w:szCs w:val="16"/>
              </w:rPr>
            </w:pPr>
            <w:r w:rsidRPr="00F7293C">
              <w:rPr>
                <w:rFonts w:eastAsia="Times New Roman" w:cs="Calibri"/>
                <w:color w:val="000000"/>
                <w:sz w:val="16"/>
                <w:szCs w:val="16"/>
              </w:rPr>
              <w:t>XX hospital</w:t>
            </w:r>
          </w:p>
        </w:tc>
        <w:tc>
          <w:tcPr>
            <w:tcW w:w="1350" w:type="dxa"/>
            <w:hideMark/>
          </w:tcPr>
          <w:p w:rsidR="00F7293C" w:rsidRPr="00F7293C" w:rsidRDefault="00F7293C" w:rsidP="00F7293C">
            <w:pPr>
              <w:spacing w:after="0" w:line="240" w:lineRule="auto"/>
              <w:jc w:val="right"/>
              <w:cnfStyle w:val="000000010000" w:firstRow="0" w:lastRow="0" w:firstColumn="0" w:lastColumn="0" w:oddVBand="0" w:evenVBand="0" w:oddHBand="0" w:evenHBand="1" w:firstRowFirstColumn="0" w:firstRowLastColumn="0" w:lastRowFirstColumn="0" w:lastRowLastColumn="0"/>
              <w:rPr>
                <w:rFonts w:eastAsia="Times New Roman" w:cs="Calibri"/>
                <w:color w:val="000000"/>
                <w:sz w:val="16"/>
                <w:szCs w:val="16"/>
              </w:rPr>
            </w:pPr>
            <w:r w:rsidRPr="00F7293C">
              <w:rPr>
                <w:rFonts w:eastAsia="Times New Roman" w:cs="Calibri"/>
                <w:color w:val="000000"/>
                <w:sz w:val="16"/>
                <w:szCs w:val="16"/>
              </w:rPr>
              <w:t>280402</w:t>
            </w:r>
          </w:p>
        </w:tc>
        <w:tc>
          <w:tcPr>
            <w:tcW w:w="2340" w:type="dxa"/>
            <w:hideMark/>
          </w:tcPr>
          <w:p w:rsidR="00F7293C" w:rsidRPr="00F7293C" w:rsidRDefault="00F7293C" w:rsidP="00F7293C">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Calibri"/>
                <w:color w:val="000000"/>
                <w:sz w:val="16"/>
                <w:szCs w:val="16"/>
              </w:rPr>
            </w:pPr>
            <w:r w:rsidRPr="00F7293C">
              <w:rPr>
                <w:rFonts w:eastAsia="Times New Roman" w:cs="Calibri"/>
                <w:color w:val="000000"/>
                <w:sz w:val="16"/>
                <w:szCs w:val="16"/>
              </w:rPr>
              <w:t>Relief</w:t>
            </w:r>
          </w:p>
        </w:tc>
      </w:tr>
      <w:tr w:rsidR="00F7293C" w:rsidRPr="00F7293C" w:rsidTr="00F7293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369" w:type="dxa"/>
            <w:hideMark/>
          </w:tcPr>
          <w:p w:rsidR="00F7293C" w:rsidRPr="00F7293C" w:rsidRDefault="00F7293C" w:rsidP="00F7293C">
            <w:pPr>
              <w:spacing w:after="0" w:line="240" w:lineRule="auto"/>
              <w:jc w:val="right"/>
              <w:rPr>
                <w:rFonts w:asciiTheme="minorHAnsi" w:eastAsia="Times New Roman" w:hAnsiTheme="minorHAnsi" w:cs="Calibri"/>
                <w:color w:val="000000"/>
                <w:sz w:val="16"/>
                <w:szCs w:val="16"/>
              </w:rPr>
            </w:pPr>
            <w:r w:rsidRPr="00F7293C">
              <w:rPr>
                <w:rFonts w:asciiTheme="minorHAnsi" w:eastAsia="Times New Roman" w:hAnsiTheme="minorHAnsi" w:cs="Calibri"/>
                <w:color w:val="000000"/>
                <w:sz w:val="16"/>
                <w:szCs w:val="16"/>
              </w:rPr>
              <w:t>260606</w:t>
            </w:r>
          </w:p>
        </w:tc>
        <w:tc>
          <w:tcPr>
            <w:tcW w:w="3681" w:type="dxa"/>
            <w:hideMark/>
          </w:tcPr>
          <w:p w:rsidR="00F7293C" w:rsidRPr="00F7293C" w:rsidRDefault="00F7293C" w:rsidP="00F7293C">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rPr>
            </w:pPr>
            <w:r w:rsidRPr="00F7293C">
              <w:rPr>
                <w:rFonts w:eastAsia="Times New Roman" w:cs="Calibri"/>
                <w:color w:val="000000"/>
                <w:sz w:val="16"/>
                <w:szCs w:val="16"/>
              </w:rPr>
              <w:t>XX hospital</w:t>
            </w:r>
          </w:p>
        </w:tc>
        <w:tc>
          <w:tcPr>
            <w:tcW w:w="1350" w:type="dxa"/>
            <w:hideMark/>
          </w:tcPr>
          <w:p w:rsidR="00F7293C" w:rsidRPr="00F7293C" w:rsidRDefault="00F7293C" w:rsidP="00F7293C">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rPr>
            </w:pPr>
            <w:r w:rsidRPr="00F7293C">
              <w:rPr>
                <w:rFonts w:eastAsia="Times New Roman" w:cs="Calibri"/>
                <w:color w:val="000000"/>
                <w:sz w:val="16"/>
                <w:szCs w:val="16"/>
              </w:rPr>
              <w:t> </w:t>
            </w:r>
          </w:p>
        </w:tc>
        <w:tc>
          <w:tcPr>
            <w:tcW w:w="2340" w:type="dxa"/>
            <w:hideMark/>
          </w:tcPr>
          <w:p w:rsidR="00F7293C" w:rsidRPr="00F7293C" w:rsidRDefault="00F7293C" w:rsidP="00F7293C">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rPr>
            </w:pPr>
            <w:r w:rsidRPr="00F7293C">
              <w:rPr>
                <w:rFonts w:eastAsia="Times New Roman" w:cs="Calibri"/>
                <w:color w:val="000000"/>
                <w:sz w:val="16"/>
                <w:szCs w:val="16"/>
              </w:rPr>
              <w:t> </w:t>
            </w:r>
          </w:p>
        </w:tc>
      </w:tr>
      <w:tr w:rsidR="00F7293C" w:rsidRPr="00F7293C" w:rsidTr="00F7293C">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369" w:type="dxa"/>
            <w:hideMark/>
          </w:tcPr>
          <w:p w:rsidR="00F7293C" w:rsidRPr="00F7293C" w:rsidRDefault="00F7293C" w:rsidP="00F7293C">
            <w:pPr>
              <w:spacing w:after="0" w:line="240" w:lineRule="auto"/>
              <w:jc w:val="right"/>
              <w:rPr>
                <w:rFonts w:asciiTheme="minorHAnsi" w:eastAsia="Times New Roman" w:hAnsiTheme="minorHAnsi" w:cs="Calibri"/>
                <w:color w:val="000000"/>
                <w:sz w:val="16"/>
                <w:szCs w:val="16"/>
              </w:rPr>
            </w:pPr>
            <w:r w:rsidRPr="00F7293C">
              <w:rPr>
                <w:rFonts w:asciiTheme="minorHAnsi" w:eastAsia="Times New Roman" w:hAnsiTheme="minorHAnsi" w:cs="Calibri"/>
                <w:color w:val="000000"/>
                <w:sz w:val="16"/>
                <w:szCs w:val="16"/>
              </w:rPr>
              <w:t>260607</w:t>
            </w:r>
          </w:p>
        </w:tc>
        <w:tc>
          <w:tcPr>
            <w:tcW w:w="3681" w:type="dxa"/>
            <w:hideMark/>
          </w:tcPr>
          <w:p w:rsidR="00F7293C" w:rsidRPr="00F7293C" w:rsidRDefault="00F7293C" w:rsidP="00F7293C">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Calibri"/>
                <w:color w:val="000000"/>
                <w:sz w:val="16"/>
                <w:szCs w:val="16"/>
              </w:rPr>
            </w:pPr>
            <w:r w:rsidRPr="00F7293C">
              <w:rPr>
                <w:rFonts w:eastAsia="Times New Roman" w:cs="Calibri"/>
                <w:color w:val="000000"/>
                <w:sz w:val="16"/>
                <w:szCs w:val="16"/>
              </w:rPr>
              <w:t>Self-help (ONLY MOHSW portion)</w:t>
            </w:r>
          </w:p>
        </w:tc>
        <w:tc>
          <w:tcPr>
            <w:tcW w:w="1350" w:type="dxa"/>
            <w:hideMark/>
          </w:tcPr>
          <w:p w:rsidR="00F7293C" w:rsidRPr="00F7293C" w:rsidRDefault="00F7293C" w:rsidP="00F7293C">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Calibri"/>
                <w:color w:val="000000"/>
                <w:sz w:val="16"/>
                <w:szCs w:val="16"/>
              </w:rPr>
            </w:pPr>
            <w:r w:rsidRPr="00F7293C">
              <w:rPr>
                <w:rFonts w:eastAsia="Times New Roman" w:cs="Calibri"/>
                <w:color w:val="000000"/>
                <w:sz w:val="16"/>
                <w:szCs w:val="16"/>
              </w:rPr>
              <w:t> </w:t>
            </w:r>
          </w:p>
        </w:tc>
        <w:tc>
          <w:tcPr>
            <w:tcW w:w="2340" w:type="dxa"/>
            <w:hideMark/>
          </w:tcPr>
          <w:p w:rsidR="00F7293C" w:rsidRPr="00F7293C" w:rsidRDefault="00F7293C" w:rsidP="00F7293C">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Calibri"/>
                <w:color w:val="000000"/>
                <w:sz w:val="16"/>
                <w:szCs w:val="16"/>
              </w:rPr>
            </w:pPr>
            <w:r w:rsidRPr="00F7293C">
              <w:rPr>
                <w:rFonts w:eastAsia="Times New Roman" w:cs="Calibri"/>
                <w:color w:val="000000"/>
                <w:sz w:val="16"/>
                <w:szCs w:val="16"/>
              </w:rPr>
              <w:t> </w:t>
            </w:r>
          </w:p>
        </w:tc>
      </w:tr>
      <w:tr w:rsidR="00F7293C" w:rsidRPr="00F7293C" w:rsidTr="00F7293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369" w:type="dxa"/>
            <w:hideMark/>
          </w:tcPr>
          <w:p w:rsidR="00F7293C" w:rsidRPr="00F7293C" w:rsidRDefault="00F7293C" w:rsidP="00F7293C">
            <w:pPr>
              <w:spacing w:after="0" w:line="240" w:lineRule="auto"/>
              <w:jc w:val="right"/>
              <w:rPr>
                <w:rFonts w:asciiTheme="minorHAnsi" w:eastAsia="Times New Roman" w:hAnsiTheme="minorHAnsi" w:cs="Calibri"/>
                <w:color w:val="000000"/>
                <w:sz w:val="16"/>
                <w:szCs w:val="16"/>
              </w:rPr>
            </w:pPr>
            <w:r w:rsidRPr="00F7293C">
              <w:rPr>
                <w:rFonts w:asciiTheme="minorHAnsi" w:eastAsia="Times New Roman" w:hAnsiTheme="minorHAnsi" w:cs="Calibri"/>
                <w:color w:val="000000"/>
                <w:sz w:val="16"/>
                <w:szCs w:val="16"/>
              </w:rPr>
              <w:t>270209</w:t>
            </w:r>
          </w:p>
        </w:tc>
        <w:tc>
          <w:tcPr>
            <w:tcW w:w="3681" w:type="dxa"/>
            <w:hideMark/>
          </w:tcPr>
          <w:p w:rsidR="00F7293C" w:rsidRPr="00F7293C" w:rsidRDefault="00F7293C" w:rsidP="00F7293C">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rPr>
            </w:pPr>
            <w:r w:rsidRPr="00F7293C">
              <w:rPr>
                <w:rFonts w:eastAsia="Times New Roman" w:cs="Calibri"/>
                <w:color w:val="000000"/>
                <w:sz w:val="16"/>
                <w:szCs w:val="16"/>
              </w:rPr>
              <w:t>WHO Contribution</w:t>
            </w:r>
          </w:p>
        </w:tc>
        <w:tc>
          <w:tcPr>
            <w:tcW w:w="1350" w:type="dxa"/>
            <w:hideMark/>
          </w:tcPr>
          <w:p w:rsidR="00F7293C" w:rsidRPr="00F7293C" w:rsidRDefault="00F7293C" w:rsidP="00F7293C">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rPr>
            </w:pPr>
            <w:r w:rsidRPr="00F7293C">
              <w:rPr>
                <w:rFonts w:eastAsia="Times New Roman" w:cs="Calibri"/>
                <w:color w:val="000000"/>
                <w:sz w:val="16"/>
                <w:szCs w:val="16"/>
              </w:rPr>
              <w:t> </w:t>
            </w:r>
          </w:p>
        </w:tc>
        <w:tc>
          <w:tcPr>
            <w:tcW w:w="2340" w:type="dxa"/>
            <w:hideMark/>
          </w:tcPr>
          <w:p w:rsidR="00F7293C" w:rsidRPr="00F7293C" w:rsidRDefault="00F7293C" w:rsidP="00F7293C">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rPr>
            </w:pPr>
            <w:r w:rsidRPr="00F7293C">
              <w:rPr>
                <w:rFonts w:eastAsia="Times New Roman" w:cs="Calibri"/>
                <w:color w:val="000000"/>
                <w:sz w:val="16"/>
                <w:szCs w:val="16"/>
              </w:rPr>
              <w:t> </w:t>
            </w:r>
          </w:p>
        </w:tc>
      </w:tr>
      <w:tr w:rsidR="00F7293C" w:rsidRPr="00F7293C" w:rsidTr="00F7293C">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369" w:type="dxa"/>
            <w:hideMark/>
          </w:tcPr>
          <w:p w:rsidR="00F7293C" w:rsidRPr="00F7293C" w:rsidRDefault="00F7293C" w:rsidP="00F7293C">
            <w:pPr>
              <w:spacing w:after="0" w:line="240" w:lineRule="auto"/>
              <w:jc w:val="right"/>
              <w:rPr>
                <w:rFonts w:asciiTheme="minorHAnsi" w:eastAsia="Times New Roman" w:hAnsiTheme="minorHAnsi" w:cs="Calibri"/>
                <w:color w:val="000000"/>
                <w:sz w:val="16"/>
                <w:szCs w:val="16"/>
              </w:rPr>
            </w:pPr>
            <w:r w:rsidRPr="00F7293C">
              <w:rPr>
                <w:rFonts w:asciiTheme="minorHAnsi" w:eastAsia="Times New Roman" w:hAnsiTheme="minorHAnsi" w:cs="Calibri"/>
                <w:color w:val="000000"/>
                <w:sz w:val="16"/>
                <w:szCs w:val="16"/>
              </w:rPr>
              <w:t>270305</w:t>
            </w:r>
          </w:p>
        </w:tc>
        <w:tc>
          <w:tcPr>
            <w:tcW w:w="3681" w:type="dxa"/>
            <w:hideMark/>
          </w:tcPr>
          <w:p w:rsidR="00F7293C" w:rsidRPr="00F7293C" w:rsidRDefault="00F7293C" w:rsidP="00F7293C">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Calibri"/>
                <w:color w:val="000000"/>
                <w:sz w:val="16"/>
                <w:szCs w:val="16"/>
              </w:rPr>
            </w:pPr>
            <w:proofErr w:type="spellStart"/>
            <w:r w:rsidRPr="00F7293C">
              <w:rPr>
                <w:rFonts w:eastAsia="Times New Roman" w:cs="Calibri"/>
                <w:color w:val="000000"/>
                <w:sz w:val="16"/>
                <w:szCs w:val="16"/>
              </w:rPr>
              <w:t>Muhimbili</w:t>
            </w:r>
            <w:proofErr w:type="spellEnd"/>
            <w:r w:rsidRPr="00F7293C">
              <w:rPr>
                <w:rFonts w:eastAsia="Times New Roman" w:cs="Calibri"/>
                <w:color w:val="000000"/>
                <w:sz w:val="16"/>
                <w:szCs w:val="16"/>
              </w:rPr>
              <w:t xml:space="preserve"> </w:t>
            </w:r>
          </w:p>
        </w:tc>
        <w:tc>
          <w:tcPr>
            <w:tcW w:w="1350" w:type="dxa"/>
            <w:hideMark/>
          </w:tcPr>
          <w:p w:rsidR="00F7293C" w:rsidRPr="00F7293C" w:rsidRDefault="00F7293C" w:rsidP="00F7293C">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Calibri"/>
                <w:color w:val="000000"/>
                <w:sz w:val="16"/>
                <w:szCs w:val="16"/>
              </w:rPr>
            </w:pPr>
            <w:r w:rsidRPr="00F7293C">
              <w:rPr>
                <w:rFonts w:eastAsia="Times New Roman" w:cs="Calibri"/>
                <w:color w:val="000000"/>
                <w:sz w:val="16"/>
                <w:szCs w:val="16"/>
              </w:rPr>
              <w:t> </w:t>
            </w:r>
          </w:p>
        </w:tc>
        <w:tc>
          <w:tcPr>
            <w:tcW w:w="2340" w:type="dxa"/>
            <w:hideMark/>
          </w:tcPr>
          <w:p w:rsidR="00F7293C" w:rsidRPr="00F7293C" w:rsidRDefault="00F7293C" w:rsidP="00F7293C">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Calibri"/>
                <w:color w:val="000000"/>
                <w:sz w:val="16"/>
                <w:szCs w:val="16"/>
              </w:rPr>
            </w:pPr>
            <w:r w:rsidRPr="00F7293C">
              <w:rPr>
                <w:rFonts w:eastAsia="Times New Roman" w:cs="Calibri"/>
                <w:color w:val="000000"/>
                <w:sz w:val="16"/>
                <w:szCs w:val="16"/>
              </w:rPr>
              <w:t> </w:t>
            </w:r>
          </w:p>
        </w:tc>
      </w:tr>
      <w:tr w:rsidR="00F7293C" w:rsidRPr="00F7293C" w:rsidTr="00F7293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369" w:type="dxa"/>
            <w:hideMark/>
          </w:tcPr>
          <w:p w:rsidR="00F7293C" w:rsidRPr="00F7293C" w:rsidRDefault="00F7293C" w:rsidP="00F7293C">
            <w:pPr>
              <w:spacing w:after="0" w:line="240" w:lineRule="auto"/>
              <w:jc w:val="right"/>
              <w:rPr>
                <w:rFonts w:asciiTheme="minorHAnsi" w:eastAsia="Times New Roman" w:hAnsiTheme="minorHAnsi" w:cs="Calibri"/>
                <w:color w:val="000000"/>
                <w:sz w:val="16"/>
                <w:szCs w:val="16"/>
              </w:rPr>
            </w:pPr>
            <w:r w:rsidRPr="00F7293C">
              <w:rPr>
                <w:rFonts w:asciiTheme="minorHAnsi" w:eastAsia="Times New Roman" w:hAnsiTheme="minorHAnsi" w:cs="Calibri"/>
                <w:color w:val="000000"/>
                <w:sz w:val="16"/>
                <w:szCs w:val="16"/>
              </w:rPr>
              <w:t>270344</w:t>
            </w:r>
          </w:p>
        </w:tc>
        <w:tc>
          <w:tcPr>
            <w:tcW w:w="3681" w:type="dxa"/>
            <w:hideMark/>
          </w:tcPr>
          <w:p w:rsidR="00F7293C" w:rsidRPr="00F7293C" w:rsidRDefault="00F7293C" w:rsidP="00F7293C">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rPr>
            </w:pPr>
            <w:r w:rsidRPr="00F7293C">
              <w:rPr>
                <w:rFonts w:eastAsia="Times New Roman" w:cs="Calibri"/>
                <w:color w:val="000000"/>
                <w:sz w:val="16"/>
                <w:szCs w:val="16"/>
              </w:rPr>
              <w:t>MOI (Also incl. in PER)</w:t>
            </w:r>
          </w:p>
        </w:tc>
        <w:tc>
          <w:tcPr>
            <w:tcW w:w="1350" w:type="dxa"/>
            <w:hideMark/>
          </w:tcPr>
          <w:p w:rsidR="00F7293C" w:rsidRPr="00F7293C" w:rsidRDefault="00F7293C" w:rsidP="00F7293C">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rPr>
            </w:pPr>
            <w:r w:rsidRPr="00F7293C">
              <w:rPr>
                <w:rFonts w:eastAsia="Times New Roman" w:cs="Calibri"/>
                <w:color w:val="000000"/>
                <w:sz w:val="16"/>
                <w:szCs w:val="16"/>
              </w:rPr>
              <w:t> </w:t>
            </w:r>
          </w:p>
        </w:tc>
        <w:tc>
          <w:tcPr>
            <w:tcW w:w="2340" w:type="dxa"/>
            <w:hideMark/>
          </w:tcPr>
          <w:p w:rsidR="00F7293C" w:rsidRPr="00F7293C" w:rsidRDefault="00F7293C" w:rsidP="00F7293C">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rPr>
            </w:pPr>
            <w:r w:rsidRPr="00F7293C">
              <w:rPr>
                <w:rFonts w:eastAsia="Times New Roman" w:cs="Calibri"/>
                <w:color w:val="000000"/>
                <w:sz w:val="16"/>
                <w:szCs w:val="16"/>
              </w:rPr>
              <w:t> </w:t>
            </w:r>
          </w:p>
        </w:tc>
      </w:tr>
      <w:tr w:rsidR="00F7293C" w:rsidRPr="00F7293C" w:rsidTr="00F7293C">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369" w:type="dxa"/>
            <w:hideMark/>
          </w:tcPr>
          <w:p w:rsidR="00F7293C" w:rsidRPr="00F7293C" w:rsidRDefault="00F7293C" w:rsidP="00F7293C">
            <w:pPr>
              <w:spacing w:after="0" w:line="240" w:lineRule="auto"/>
              <w:jc w:val="right"/>
              <w:rPr>
                <w:rFonts w:asciiTheme="minorHAnsi" w:eastAsia="Times New Roman" w:hAnsiTheme="minorHAnsi" w:cs="Calibri"/>
                <w:color w:val="000000"/>
                <w:sz w:val="16"/>
                <w:szCs w:val="16"/>
              </w:rPr>
            </w:pPr>
            <w:r w:rsidRPr="00F7293C">
              <w:rPr>
                <w:rFonts w:asciiTheme="minorHAnsi" w:eastAsia="Times New Roman" w:hAnsiTheme="minorHAnsi" w:cs="Calibri"/>
                <w:color w:val="000000"/>
                <w:sz w:val="16"/>
                <w:szCs w:val="16"/>
              </w:rPr>
              <w:t>270359</w:t>
            </w:r>
          </w:p>
        </w:tc>
        <w:tc>
          <w:tcPr>
            <w:tcW w:w="3681" w:type="dxa"/>
            <w:hideMark/>
          </w:tcPr>
          <w:p w:rsidR="00F7293C" w:rsidRPr="00F7293C" w:rsidRDefault="00F7293C" w:rsidP="00F7293C">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Calibri"/>
                <w:color w:val="000000"/>
                <w:sz w:val="16"/>
                <w:szCs w:val="16"/>
              </w:rPr>
            </w:pPr>
            <w:r w:rsidRPr="00F7293C">
              <w:rPr>
                <w:rFonts w:eastAsia="Times New Roman" w:cs="Calibri"/>
                <w:color w:val="000000"/>
                <w:sz w:val="16"/>
                <w:szCs w:val="16"/>
              </w:rPr>
              <w:t>NMRI</w:t>
            </w:r>
          </w:p>
        </w:tc>
        <w:tc>
          <w:tcPr>
            <w:tcW w:w="1350" w:type="dxa"/>
            <w:hideMark/>
          </w:tcPr>
          <w:p w:rsidR="00F7293C" w:rsidRPr="00F7293C" w:rsidRDefault="00F7293C" w:rsidP="00F7293C">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Calibri"/>
                <w:color w:val="000000"/>
                <w:sz w:val="16"/>
                <w:szCs w:val="16"/>
              </w:rPr>
            </w:pPr>
            <w:r w:rsidRPr="00F7293C">
              <w:rPr>
                <w:rFonts w:eastAsia="Times New Roman" w:cs="Calibri"/>
                <w:color w:val="000000"/>
                <w:sz w:val="16"/>
                <w:szCs w:val="16"/>
              </w:rPr>
              <w:t> </w:t>
            </w:r>
          </w:p>
        </w:tc>
        <w:tc>
          <w:tcPr>
            <w:tcW w:w="2340" w:type="dxa"/>
            <w:hideMark/>
          </w:tcPr>
          <w:p w:rsidR="00F7293C" w:rsidRPr="00F7293C" w:rsidRDefault="00F7293C" w:rsidP="00F7293C">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Calibri"/>
                <w:color w:val="000000"/>
                <w:sz w:val="16"/>
                <w:szCs w:val="16"/>
              </w:rPr>
            </w:pPr>
            <w:r w:rsidRPr="00F7293C">
              <w:rPr>
                <w:rFonts w:eastAsia="Times New Roman" w:cs="Calibri"/>
                <w:color w:val="000000"/>
                <w:sz w:val="16"/>
                <w:szCs w:val="16"/>
              </w:rPr>
              <w:t> </w:t>
            </w:r>
          </w:p>
        </w:tc>
      </w:tr>
      <w:tr w:rsidR="00F7293C" w:rsidRPr="00F7293C" w:rsidTr="00F7293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369" w:type="dxa"/>
            <w:hideMark/>
          </w:tcPr>
          <w:p w:rsidR="00F7293C" w:rsidRPr="00F7293C" w:rsidRDefault="00F7293C" w:rsidP="00F7293C">
            <w:pPr>
              <w:spacing w:after="0" w:line="240" w:lineRule="auto"/>
              <w:jc w:val="right"/>
              <w:rPr>
                <w:rFonts w:asciiTheme="minorHAnsi" w:eastAsia="Times New Roman" w:hAnsiTheme="minorHAnsi" w:cs="Calibri"/>
                <w:color w:val="000000"/>
                <w:sz w:val="16"/>
                <w:szCs w:val="16"/>
              </w:rPr>
            </w:pPr>
            <w:r w:rsidRPr="00F7293C">
              <w:rPr>
                <w:rFonts w:asciiTheme="minorHAnsi" w:eastAsia="Times New Roman" w:hAnsiTheme="minorHAnsi" w:cs="Calibri"/>
                <w:color w:val="000000"/>
                <w:sz w:val="16"/>
                <w:szCs w:val="16"/>
              </w:rPr>
              <w:t>270366</w:t>
            </w:r>
          </w:p>
        </w:tc>
        <w:tc>
          <w:tcPr>
            <w:tcW w:w="3681" w:type="dxa"/>
            <w:hideMark/>
          </w:tcPr>
          <w:p w:rsidR="00F7293C" w:rsidRPr="00F7293C" w:rsidRDefault="00F7293C" w:rsidP="00F7293C">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rPr>
            </w:pPr>
            <w:r w:rsidRPr="00F7293C">
              <w:rPr>
                <w:rFonts w:eastAsia="Times New Roman" w:cs="Calibri"/>
                <w:color w:val="000000"/>
                <w:sz w:val="16"/>
                <w:szCs w:val="16"/>
              </w:rPr>
              <w:t>Ocean Road Cancer Institute</w:t>
            </w:r>
          </w:p>
        </w:tc>
        <w:tc>
          <w:tcPr>
            <w:tcW w:w="1350" w:type="dxa"/>
            <w:hideMark/>
          </w:tcPr>
          <w:p w:rsidR="00F7293C" w:rsidRPr="00F7293C" w:rsidRDefault="00F7293C" w:rsidP="00F7293C">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rPr>
            </w:pPr>
            <w:r w:rsidRPr="00F7293C">
              <w:rPr>
                <w:rFonts w:eastAsia="Times New Roman" w:cs="Calibri"/>
                <w:color w:val="000000"/>
                <w:sz w:val="16"/>
                <w:szCs w:val="16"/>
              </w:rPr>
              <w:t> </w:t>
            </w:r>
          </w:p>
        </w:tc>
        <w:tc>
          <w:tcPr>
            <w:tcW w:w="2340" w:type="dxa"/>
            <w:hideMark/>
          </w:tcPr>
          <w:p w:rsidR="00F7293C" w:rsidRPr="00F7293C" w:rsidRDefault="00F7293C" w:rsidP="00F7293C">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rPr>
            </w:pPr>
            <w:r w:rsidRPr="00F7293C">
              <w:rPr>
                <w:rFonts w:eastAsia="Times New Roman" w:cs="Calibri"/>
                <w:color w:val="000000"/>
                <w:sz w:val="16"/>
                <w:szCs w:val="16"/>
              </w:rPr>
              <w:t> </w:t>
            </w:r>
          </w:p>
        </w:tc>
      </w:tr>
      <w:tr w:rsidR="00F7293C" w:rsidRPr="00F7293C" w:rsidTr="00F7293C">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369" w:type="dxa"/>
            <w:hideMark/>
          </w:tcPr>
          <w:p w:rsidR="00F7293C" w:rsidRPr="00F7293C" w:rsidRDefault="00F7293C" w:rsidP="00F7293C">
            <w:pPr>
              <w:spacing w:after="0" w:line="240" w:lineRule="auto"/>
              <w:jc w:val="right"/>
              <w:rPr>
                <w:rFonts w:asciiTheme="minorHAnsi" w:eastAsia="Times New Roman" w:hAnsiTheme="minorHAnsi" w:cs="Calibri"/>
                <w:color w:val="000000"/>
                <w:sz w:val="16"/>
                <w:szCs w:val="16"/>
              </w:rPr>
            </w:pPr>
            <w:r w:rsidRPr="00F7293C">
              <w:rPr>
                <w:rFonts w:asciiTheme="minorHAnsi" w:eastAsia="Times New Roman" w:hAnsiTheme="minorHAnsi" w:cs="Calibri"/>
                <w:color w:val="000000"/>
                <w:sz w:val="16"/>
                <w:szCs w:val="16"/>
              </w:rPr>
              <w:t>270601</w:t>
            </w:r>
          </w:p>
        </w:tc>
        <w:tc>
          <w:tcPr>
            <w:tcW w:w="3681" w:type="dxa"/>
            <w:hideMark/>
          </w:tcPr>
          <w:p w:rsidR="00F7293C" w:rsidRPr="00F7293C" w:rsidRDefault="00F7293C" w:rsidP="00F7293C">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Calibri"/>
                <w:color w:val="000000"/>
                <w:sz w:val="16"/>
                <w:szCs w:val="16"/>
              </w:rPr>
            </w:pPr>
            <w:r w:rsidRPr="00F7293C">
              <w:rPr>
                <w:rFonts w:eastAsia="Times New Roman" w:cs="Calibri"/>
                <w:color w:val="000000"/>
                <w:sz w:val="16"/>
                <w:szCs w:val="16"/>
              </w:rPr>
              <w:t>Nutrition food center</w:t>
            </w:r>
          </w:p>
        </w:tc>
        <w:tc>
          <w:tcPr>
            <w:tcW w:w="1350" w:type="dxa"/>
            <w:hideMark/>
          </w:tcPr>
          <w:p w:rsidR="00F7293C" w:rsidRPr="00F7293C" w:rsidRDefault="00F7293C" w:rsidP="00F7293C">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Calibri"/>
                <w:color w:val="000000"/>
                <w:sz w:val="16"/>
                <w:szCs w:val="16"/>
              </w:rPr>
            </w:pPr>
            <w:r w:rsidRPr="00F7293C">
              <w:rPr>
                <w:rFonts w:eastAsia="Times New Roman" w:cs="Calibri"/>
                <w:color w:val="000000"/>
                <w:sz w:val="16"/>
                <w:szCs w:val="16"/>
              </w:rPr>
              <w:t> </w:t>
            </w:r>
          </w:p>
        </w:tc>
        <w:tc>
          <w:tcPr>
            <w:tcW w:w="2340" w:type="dxa"/>
            <w:hideMark/>
          </w:tcPr>
          <w:p w:rsidR="00F7293C" w:rsidRPr="00F7293C" w:rsidRDefault="00F7293C" w:rsidP="00F7293C">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Calibri"/>
                <w:color w:val="000000"/>
                <w:sz w:val="16"/>
                <w:szCs w:val="16"/>
              </w:rPr>
            </w:pPr>
            <w:r w:rsidRPr="00F7293C">
              <w:rPr>
                <w:rFonts w:eastAsia="Times New Roman" w:cs="Calibri"/>
                <w:color w:val="000000"/>
                <w:sz w:val="16"/>
                <w:szCs w:val="16"/>
              </w:rPr>
              <w:t> </w:t>
            </w:r>
          </w:p>
        </w:tc>
      </w:tr>
      <w:tr w:rsidR="00F7293C" w:rsidRPr="00F7293C" w:rsidTr="00F7293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369" w:type="dxa"/>
            <w:hideMark/>
          </w:tcPr>
          <w:p w:rsidR="00F7293C" w:rsidRPr="00F7293C" w:rsidRDefault="00F7293C" w:rsidP="00F7293C">
            <w:pPr>
              <w:spacing w:after="0" w:line="240" w:lineRule="auto"/>
              <w:jc w:val="right"/>
              <w:rPr>
                <w:rFonts w:asciiTheme="minorHAnsi" w:eastAsia="Times New Roman" w:hAnsiTheme="minorHAnsi" w:cs="Calibri"/>
                <w:color w:val="000000"/>
                <w:sz w:val="16"/>
                <w:szCs w:val="16"/>
              </w:rPr>
            </w:pPr>
            <w:r w:rsidRPr="00F7293C">
              <w:rPr>
                <w:rFonts w:asciiTheme="minorHAnsi" w:eastAsia="Times New Roman" w:hAnsiTheme="minorHAnsi" w:cs="Calibri"/>
                <w:color w:val="000000"/>
                <w:sz w:val="16"/>
                <w:szCs w:val="16"/>
              </w:rPr>
              <w:t>270612</w:t>
            </w:r>
          </w:p>
        </w:tc>
        <w:tc>
          <w:tcPr>
            <w:tcW w:w="3681" w:type="dxa"/>
            <w:hideMark/>
          </w:tcPr>
          <w:p w:rsidR="00F7293C" w:rsidRPr="00F7293C" w:rsidRDefault="00F7293C" w:rsidP="00F7293C">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rPr>
            </w:pPr>
            <w:r w:rsidRPr="00F7293C">
              <w:rPr>
                <w:rFonts w:eastAsia="Times New Roman" w:cs="Calibri"/>
                <w:color w:val="000000"/>
                <w:sz w:val="16"/>
                <w:szCs w:val="16"/>
              </w:rPr>
              <w:t>Gov. Chemist agency</w:t>
            </w:r>
          </w:p>
        </w:tc>
        <w:tc>
          <w:tcPr>
            <w:tcW w:w="1350" w:type="dxa"/>
            <w:hideMark/>
          </w:tcPr>
          <w:p w:rsidR="00F7293C" w:rsidRPr="00F7293C" w:rsidRDefault="00F7293C" w:rsidP="00F7293C">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rPr>
            </w:pPr>
            <w:r w:rsidRPr="00F7293C">
              <w:rPr>
                <w:rFonts w:eastAsia="Times New Roman" w:cs="Calibri"/>
                <w:color w:val="000000"/>
                <w:sz w:val="16"/>
                <w:szCs w:val="16"/>
              </w:rPr>
              <w:t> </w:t>
            </w:r>
          </w:p>
        </w:tc>
        <w:tc>
          <w:tcPr>
            <w:tcW w:w="2340" w:type="dxa"/>
            <w:hideMark/>
          </w:tcPr>
          <w:p w:rsidR="00F7293C" w:rsidRPr="00F7293C" w:rsidRDefault="00F7293C" w:rsidP="00F7293C">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rPr>
            </w:pPr>
            <w:r w:rsidRPr="00F7293C">
              <w:rPr>
                <w:rFonts w:eastAsia="Times New Roman" w:cs="Calibri"/>
                <w:color w:val="000000"/>
                <w:sz w:val="16"/>
                <w:szCs w:val="16"/>
              </w:rPr>
              <w:t> </w:t>
            </w:r>
          </w:p>
        </w:tc>
      </w:tr>
      <w:tr w:rsidR="00F7293C" w:rsidRPr="00F7293C" w:rsidTr="00F7293C">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369" w:type="dxa"/>
            <w:hideMark/>
          </w:tcPr>
          <w:p w:rsidR="00F7293C" w:rsidRPr="00F7293C" w:rsidRDefault="00F7293C" w:rsidP="00F7293C">
            <w:pPr>
              <w:spacing w:after="0" w:line="240" w:lineRule="auto"/>
              <w:jc w:val="right"/>
              <w:rPr>
                <w:rFonts w:asciiTheme="minorHAnsi" w:eastAsia="Times New Roman" w:hAnsiTheme="minorHAnsi" w:cs="Calibri"/>
                <w:color w:val="000000"/>
                <w:sz w:val="16"/>
                <w:szCs w:val="16"/>
              </w:rPr>
            </w:pPr>
            <w:r w:rsidRPr="00F7293C">
              <w:rPr>
                <w:rFonts w:asciiTheme="minorHAnsi" w:eastAsia="Times New Roman" w:hAnsiTheme="minorHAnsi" w:cs="Calibri"/>
                <w:color w:val="000000"/>
                <w:sz w:val="16"/>
                <w:szCs w:val="16"/>
              </w:rPr>
              <w:t>270820</w:t>
            </w:r>
          </w:p>
        </w:tc>
        <w:tc>
          <w:tcPr>
            <w:tcW w:w="3681" w:type="dxa"/>
            <w:hideMark/>
          </w:tcPr>
          <w:p w:rsidR="00F7293C" w:rsidRPr="00F7293C" w:rsidRDefault="00F7293C" w:rsidP="00F7293C">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Calibri"/>
                <w:color w:val="000000"/>
                <w:sz w:val="16"/>
                <w:szCs w:val="16"/>
              </w:rPr>
            </w:pPr>
            <w:proofErr w:type="spellStart"/>
            <w:r w:rsidRPr="00F7293C">
              <w:rPr>
                <w:rFonts w:eastAsia="Times New Roman" w:cs="Calibri"/>
                <w:color w:val="000000"/>
                <w:sz w:val="16"/>
                <w:szCs w:val="16"/>
              </w:rPr>
              <w:t>Muhimbili</w:t>
            </w:r>
            <w:proofErr w:type="spellEnd"/>
            <w:r w:rsidRPr="00F7293C">
              <w:rPr>
                <w:rFonts w:eastAsia="Times New Roman" w:cs="Calibri"/>
                <w:color w:val="000000"/>
                <w:sz w:val="16"/>
                <w:szCs w:val="16"/>
              </w:rPr>
              <w:t xml:space="preserve"> hospital</w:t>
            </w:r>
          </w:p>
        </w:tc>
        <w:tc>
          <w:tcPr>
            <w:tcW w:w="1350" w:type="dxa"/>
            <w:hideMark/>
          </w:tcPr>
          <w:p w:rsidR="00F7293C" w:rsidRPr="00F7293C" w:rsidRDefault="00F7293C" w:rsidP="00F7293C">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Calibri"/>
                <w:color w:val="000000"/>
                <w:sz w:val="16"/>
                <w:szCs w:val="16"/>
              </w:rPr>
            </w:pPr>
            <w:r w:rsidRPr="00F7293C">
              <w:rPr>
                <w:rFonts w:eastAsia="Times New Roman" w:cs="Calibri"/>
                <w:color w:val="000000"/>
                <w:sz w:val="16"/>
                <w:szCs w:val="16"/>
              </w:rPr>
              <w:t> </w:t>
            </w:r>
          </w:p>
        </w:tc>
        <w:tc>
          <w:tcPr>
            <w:tcW w:w="2340" w:type="dxa"/>
            <w:hideMark/>
          </w:tcPr>
          <w:p w:rsidR="00F7293C" w:rsidRPr="00F7293C" w:rsidRDefault="00F7293C" w:rsidP="00F7293C">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Calibri"/>
                <w:color w:val="000000"/>
                <w:sz w:val="16"/>
                <w:szCs w:val="16"/>
              </w:rPr>
            </w:pPr>
            <w:r w:rsidRPr="00F7293C">
              <w:rPr>
                <w:rFonts w:eastAsia="Times New Roman" w:cs="Calibri"/>
                <w:color w:val="000000"/>
                <w:sz w:val="16"/>
                <w:szCs w:val="16"/>
              </w:rPr>
              <w:t> </w:t>
            </w:r>
          </w:p>
        </w:tc>
      </w:tr>
      <w:tr w:rsidR="00F7293C" w:rsidRPr="00F7293C" w:rsidTr="00F7293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369" w:type="dxa"/>
            <w:hideMark/>
          </w:tcPr>
          <w:p w:rsidR="00F7293C" w:rsidRPr="00F7293C" w:rsidRDefault="00F7293C" w:rsidP="00F7293C">
            <w:pPr>
              <w:spacing w:after="0" w:line="240" w:lineRule="auto"/>
              <w:jc w:val="right"/>
              <w:rPr>
                <w:rFonts w:asciiTheme="minorHAnsi" w:eastAsia="Times New Roman" w:hAnsiTheme="minorHAnsi" w:cs="Calibri"/>
                <w:color w:val="000000"/>
                <w:sz w:val="16"/>
                <w:szCs w:val="16"/>
              </w:rPr>
            </w:pPr>
            <w:r w:rsidRPr="00F7293C">
              <w:rPr>
                <w:rFonts w:asciiTheme="minorHAnsi" w:eastAsia="Times New Roman" w:hAnsiTheme="minorHAnsi" w:cs="Calibri"/>
                <w:color w:val="000000"/>
                <w:sz w:val="16"/>
                <w:szCs w:val="16"/>
              </w:rPr>
              <w:t>270821</w:t>
            </w:r>
          </w:p>
        </w:tc>
        <w:tc>
          <w:tcPr>
            <w:tcW w:w="3681" w:type="dxa"/>
            <w:hideMark/>
          </w:tcPr>
          <w:p w:rsidR="00F7293C" w:rsidRPr="00F7293C" w:rsidRDefault="00F7293C" w:rsidP="00F7293C">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rPr>
            </w:pPr>
            <w:r w:rsidRPr="00F7293C">
              <w:rPr>
                <w:rFonts w:eastAsia="Times New Roman" w:cs="Calibri"/>
                <w:color w:val="000000"/>
                <w:sz w:val="16"/>
                <w:szCs w:val="16"/>
              </w:rPr>
              <w:t>XXX hospital</w:t>
            </w:r>
          </w:p>
        </w:tc>
        <w:tc>
          <w:tcPr>
            <w:tcW w:w="1350" w:type="dxa"/>
            <w:hideMark/>
          </w:tcPr>
          <w:p w:rsidR="00F7293C" w:rsidRPr="00F7293C" w:rsidRDefault="00F7293C" w:rsidP="00F7293C">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rPr>
            </w:pPr>
            <w:r w:rsidRPr="00F7293C">
              <w:rPr>
                <w:rFonts w:eastAsia="Times New Roman" w:cs="Calibri"/>
                <w:color w:val="000000"/>
                <w:sz w:val="16"/>
                <w:szCs w:val="16"/>
              </w:rPr>
              <w:t> </w:t>
            </w:r>
          </w:p>
        </w:tc>
        <w:tc>
          <w:tcPr>
            <w:tcW w:w="2340" w:type="dxa"/>
            <w:hideMark/>
          </w:tcPr>
          <w:p w:rsidR="00F7293C" w:rsidRPr="00F7293C" w:rsidRDefault="00F7293C" w:rsidP="00F7293C">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rPr>
            </w:pPr>
            <w:r w:rsidRPr="00F7293C">
              <w:rPr>
                <w:rFonts w:eastAsia="Times New Roman" w:cs="Calibri"/>
                <w:color w:val="000000"/>
                <w:sz w:val="16"/>
                <w:szCs w:val="16"/>
              </w:rPr>
              <w:t> </w:t>
            </w:r>
          </w:p>
        </w:tc>
      </w:tr>
      <w:tr w:rsidR="00F7293C" w:rsidRPr="00F7293C" w:rsidTr="00F7293C">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369" w:type="dxa"/>
            <w:hideMark/>
          </w:tcPr>
          <w:p w:rsidR="00F7293C" w:rsidRPr="00F7293C" w:rsidRDefault="00F7293C" w:rsidP="00F7293C">
            <w:pPr>
              <w:spacing w:after="0" w:line="240" w:lineRule="auto"/>
              <w:jc w:val="right"/>
              <w:rPr>
                <w:rFonts w:asciiTheme="minorHAnsi" w:eastAsia="Times New Roman" w:hAnsiTheme="minorHAnsi" w:cs="Calibri"/>
                <w:color w:val="000000"/>
                <w:sz w:val="16"/>
                <w:szCs w:val="16"/>
              </w:rPr>
            </w:pPr>
            <w:r w:rsidRPr="00F7293C">
              <w:rPr>
                <w:rFonts w:asciiTheme="minorHAnsi" w:eastAsia="Times New Roman" w:hAnsiTheme="minorHAnsi" w:cs="Calibri"/>
                <w:color w:val="000000"/>
                <w:sz w:val="16"/>
                <w:szCs w:val="16"/>
              </w:rPr>
              <w:t>270822</w:t>
            </w:r>
          </w:p>
        </w:tc>
        <w:tc>
          <w:tcPr>
            <w:tcW w:w="3681" w:type="dxa"/>
            <w:hideMark/>
          </w:tcPr>
          <w:p w:rsidR="00F7293C" w:rsidRPr="00F7293C" w:rsidRDefault="00F7293C" w:rsidP="00F7293C">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Calibri"/>
                <w:color w:val="000000"/>
                <w:sz w:val="16"/>
                <w:szCs w:val="16"/>
              </w:rPr>
            </w:pPr>
            <w:r w:rsidRPr="00F7293C">
              <w:rPr>
                <w:rFonts w:eastAsia="Times New Roman" w:cs="Calibri"/>
                <w:color w:val="000000"/>
                <w:sz w:val="16"/>
                <w:szCs w:val="16"/>
              </w:rPr>
              <w:t>XX hospital</w:t>
            </w:r>
          </w:p>
        </w:tc>
        <w:tc>
          <w:tcPr>
            <w:tcW w:w="1350" w:type="dxa"/>
            <w:hideMark/>
          </w:tcPr>
          <w:p w:rsidR="00F7293C" w:rsidRPr="00F7293C" w:rsidRDefault="00F7293C" w:rsidP="00F7293C">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Calibri"/>
                <w:color w:val="000000"/>
                <w:sz w:val="16"/>
                <w:szCs w:val="16"/>
              </w:rPr>
            </w:pPr>
            <w:r w:rsidRPr="00F7293C">
              <w:rPr>
                <w:rFonts w:eastAsia="Times New Roman" w:cs="Calibri"/>
                <w:color w:val="000000"/>
                <w:sz w:val="16"/>
                <w:szCs w:val="16"/>
              </w:rPr>
              <w:t> </w:t>
            </w:r>
          </w:p>
        </w:tc>
        <w:tc>
          <w:tcPr>
            <w:tcW w:w="2340" w:type="dxa"/>
            <w:hideMark/>
          </w:tcPr>
          <w:p w:rsidR="00F7293C" w:rsidRPr="00F7293C" w:rsidRDefault="00F7293C" w:rsidP="00F7293C">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Calibri"/>
                <w:color w:val="000000"/>
                <w:sz w:val="16"/>
                <w:szCs w:val="16"/>
              </w:rPr>
            </w:pPr>
            <w:r w:rsidRPr="00F7293C">
              <w:rPr>
                <w:rFonts w:eastAsia="Times New Roman" w:cs="Calibri"/>
                <w:color w:val="000000"/>
                <w:sz w:val="16"/>
                <w:szCs w:val="16"/>
              </w:rPr>
              <w:t> </w:t>
            </w:r>
          </w:p>
        </w:tc>
      </w:tr>
      <w:tr w:rsidR="00F7293C" w:rsidRPr="00F7293C" w:rsidTr="00F7293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369" w:type="dxa"/>
            <w:hideMark/>
          </w:tcPr>
          <w:p w:rsidR="00F7293C" w:rsidRPr="00F7293C" w:rsidRDefault="00F7293C" w:rsidP="00F7293C">
            <w:pPr>
              <w:spacing w:after="0" w:line="240" w:lineRule="auto"/>
              <w:jc w:val="right"/>
              <w:rPr>
                <w:rFonts w:asciiTheme="minorHAnsi" w:eastAsia="Times New Roman" w:hAnsiTheme="minorHAnsi" w:cs="Calibri"/>
                <w:color w:val="000000"/>
                <w:sz w:val="16"/>
                <w:szCs w:val="16"/>
              </w:rPr>
            </w:pPr>
            <w:r w:rsidRPr="00F7293C">
              <w:rPr>
                <w:rFonts w:asciiTheme="minorHAnsi" w:eastAsia="Times New Roman" w:hAnsiTheme="minorHAnsi" w:cs="Calibri"/>
                <w:color w:val="000000"/>
                <w:sz w:val="16"/>
                <w:szCs w:val="16"/>
              </w:rPr>
              <w:t>270823</w:t>
            </w:r>
          </w:p>
        </w:tc>
        <w:tc>
          <w:tcPr>
            <w:tcW w:w="3681" w:type="dxa"/>
            <w:hideMark/>
          </w:tcPr>
          <w:p w:rsidR="00F7293C" w:rsidRPr="00F7293C" w:rsidRDefault="00F7293C" w:rsidP="00F7293C">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rPr>
            </w:pPr>
            <w:r w:rsidRPr="00F7293C">
              <w:rPr>
                <w:rFonts w:eastAsia="Times New Roman" w:cs="Calibri"/>
                <w:color w:val="000000"/>
                <w:sz w:val="16"/>
                <w:szCs w:val="16"/>
              </w:rPr>
              <w:t>XXX hospital</w:t>
            </w:r>
          </w:p>
        </w:tc>
        <w:tc>
          <w:tcPr>
            <w:tcW w:w="1350" w:type="dxa"/>
            <w:hideMark/>
          </w:tcPr>
          <w:p w:rsidR="00F7293C" w:rsidRPr="00F7293C" w:rsidRDefault="00F7293C" w:rsidP="00F7293C">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rPr>
            </w:pPr>
            <w:r w:rsidRPr="00F7293C">
              <w:rPr>
                <w:rFonts w:eastAsia="Times New Roman" w:cs="Calibri"/>
                <w:color w:val="000000"/>
                <w:sz w:val="16"/>
                <w:szCs w:val="16"/>
              </w:rPr>
              <w:t> </w:t>
            </w:r>
          </w:p>
        </w:tc>
        <w:tc>
          <w:tcPr>
            <w:tcW w:w="2340" w:type="dxa"/>
            <w:hideMark/>
          </w:tcPr>
          <w:p w:rsidR="00F7293C" w:rsidRPr="00F7293C" w:rsidRDefault="00F7293C" w:rsidP="00F7293C">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rPr>
            </w:pPr>
            <w:r w:rsidRPr="00F7293C">
              <w:rPr>
                <w:rFonts w:eastAsia="Times New Roman" w:cs="Calibri"/>
                <w:color w:val="000000"/>
                <w:sz w:val="16"/>
                <w:szCs w:val="16"/>
              </w:rPr>
              <w:t> </w:t>
            </w:r>
          </w:p>
        </w:tc>
      </w:tr>
      <w:tr w:rsidR="00F7293C" w:rsidRPr="00F7293C" w:rsidTr="00F7293C">
        <w:trPr>
          <w:cnfStyle w:val="000000010000" w:firstRow="0" w:lastRow="0" w:firstColumn="0" w:lastColumn="0" w:oddVBand="0" w:evenVBand="0" w:oddHBand="0" w:evenHBand="1" w:firstRowFirstColumn="0" w:firstRowLastColumn="0" w:lastRowFirstColumn="0" w:lastRowLastColumn="0"/>
          <w:trHeight w:val="1260"/>
        </w:trPr>
        <w:tc>
          <w:tcPr>
            <w:cnfStyle w:val="001000000000" w:firstRow="0" w:lastRow="0" w:firstColumn="1" w:lastColumn="0" w:oddVBand="0" w:evenVBand="0" w:oddHBand="0" w:evenHBand="0" w:firstRowFirstColumn="0" w:firstRowLastColumn="0" w:lastRowFirstColumn="0" w:lastRowLastColumn="0"/>
            <w:tcW w:w="1369" w:type="dxa"/>
            <w:hideMark/>
          </w:tcPr>
          <w:p w:rsidR="00F7293C" w:rsidRPr="00F7293C" w:rsidRDefault="00F7293C" w:rsidP="00F7293C">
            <w:pPr>
              <w:spacing w:after="0" w:line="240" w:lineRule="auto"/>
              <w:jc w:val="right"/>
              <w:rPr>
                <w:rFonts w:asciiTheme="minorHAnsi" w:eastAsia="Times New Roman" w:hAnsiTheme="minorHAnsi" w:cs="Calibri"/>
                <w:color w:val="000000"/>
                <w:sz w:val="16"/>
                <w:szCs w:val="16"/>
              </w:rPr>
            </w:pPr>
            <w:r w:rsidRPr="00F7293C">
              <w:rPr>
                <w:rFonts w:asciiTheme="minorHAnsi" w:eastAsia="Times New Roman" w:hAnsiTheme="minorHAnsi" w:cs="Calibri"/>
                <w:color w:val="000000"/>
                <w:sz w:val="16"/>
                <w:szCs w:val="16"/>
              </w:rPr>
              <w:lastRenderedPageBreak/>
              <w:t>271101</w:t>
            </w:r>
          </w:p>
        </w:tc>
        <w:tc>
          <w:tcPr>
            <w:tcW w:w="3681" w:type="dxa"/>
            <w:hideMark/>
          </w:tcPr>
          <w:p w:rsidR="00F7293C" w:rsidRPr="00F7293C" w:rsidRDefault="00F7293C" w:rsidP="00F7293C">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Calibri"/>
                <w:color w:val="000000"/>
                <w:sz w:val="16"/>
                <w:szCs w:val="16"/>
              </w:rPr>
            </w:pPr>
            <w:r w:rsidRPr="00F7293C">
              <w:rPr>
                <w:rFonts w:eastAsia="Times New Roman" w:cs="Calibri"/>
                <w:color w:val="000000"/>
                <w:sz w:val="16"/>
                <w:szCs w:val="16"/>
              </w:rPr>
              <w:t xml:space="preserve">District (general transfers) only health component. Note we don't need to use these GFS codes but can extract health portion from project numbers. </w:t>
            </w:r>
          </w:p>
        </w:tc>
        <w:tc>
          <w:tcPr>
            <w:tcW w:w="1350" w:type="dxa"/>
            <w:hideMark/>
          </w:tcPr>
          <w:p w:rsidR="00F7293C" w:rsidRPr="00F7293C" w:rsidRDefault="00F7293C" w:rsidP="00F7293C">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Calibri"/>
                <w:color w:val="000000"/>
                <w:sz w:val="16"/>
                <w:szCs w:val="16"/>
              </w:rPr>
            </w:pPr>
            <w:r w:rsidRPr="00F7293C">
              <w:rPr>
                <w:rFonts w:eastAsia="Times New Roman" w:cs="Calibri"/>
                <w:color w:val="000000"/>
                <w:sz w:val="16"/>
                <w:szCs w:val="16"/>
              </w:rPr>
              <w:t> </w:t>
            </w:r>
          </w:p>
        </w:tc>
        <w:tc>
          <w:tcPr>
            <w:tcW w:w="2340" w:type="dxa"/>
            <w:hideMark/>
          </w:tcPr>
          <w:p w:rsidR="00F7293C" w:rsidRPr="00F7293C" w:rsidRDefault="00F7293C" w:rsidP="00F7293C">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Calibri"/>
                <w:color w:val="000000"/>
                <w:sz w:val="16"/>
                <w:szCs w:val="16"/>
              </w:rPr>
            </w:pPr>
            <w:r w:rsidRPr="00F7293C">
              <w:rPr>
                <w:rFonts w:eastAsia="Times New Roman" w:cs="Calibri"/>
                <w:color w:val="000000"/>
                <w:sz w:val="16"/>
                <w:szCs w:val="16"/>
              </w:rPr>
              <w:t> </w:t>
            </w:r>
          </w:p>
        </w:tc>
      </w:tr>
      <w:tr w:rsidR="00F7293C" w:rsidRPr="00F7293C" w:rsidTr="00F7293C">
        <w:trPr>
          <w:cnfStyle w:val="000000100000" w:firstRow="0" w:lastRow="0" w:firstColumn="0" w:lastColumn="0" w:oddVBand="0" w:evenVBand="0" w:oddHBand="1" w:evenHBand="0" w:firstRowFirstColumn="0" w:firstRowLastColumn="0" w:lastRowFirstColumn="0" w:lastRowLastColumn="0"/>
          <w:trHeight w:val="1260"/>
        </w:trPr>
        <w:tc>
          <w:tcPr>
            <w:cnfStyle w:val="001000000000" w:firstRow="0" w:lastRow="0" w:firstColumn="1" w:lastColumn="0" w:oddVBand="0" w:evenVBand="0" w:oddHBand="0" w:evenHBand="0" w:firstRowFirstColumn="0" w:firstRowLastColumn="0" w:lastRowFirstColumn="0" w:lastRowLastColumn="0"/>
            <w:tcW w:w="1369" w:type="dxa"/>
            <w:hideMark/>
          </w:tcPr>
          <w:p w:rsidR="00F7293C" w:rsidRPr="00F7293C" w:rsidRDefault="00F7293C" w:rsidP="00F7293C">
            <w:pPr>
              <w:spacing w:after="0" w:line="240" w:lineRule="auto"/>
              <w:jc w:val="right"/>
              <w:rPr>
                <w:rFonts w:asciiTheme="minorHAnsi" w:eastAsia="Times New Roman" w:hAnsiTheme="minorHAnsi" w:cs="Calibri"/>
                <w:color w:val="000000"/>
                <w:sz w:val="16"/>
                <w:szCs w:val="16"/>
              </w:rPr>
            </w:pPr>
            <w:r w:rsidRPr="00F7293C">
              <w:rPr>
                <w:rFonts w:asciiTheme="minorHAnsi" w:eastAsia="Times New Roman" w:hAnsiTheme="minorHAnsi" w:cs="Calibri"/>
                <w:color w:val="000000"/>
                <w:sz w:val="16"/>
                <w:szCs w:val="16"/>
              </w:rPr>
              <w:t>271102</w:t>
            </w:r>
          </w:p>
        </w:tc>
        <w:tc>
          <w:tcPr>
            <w:tcW w:w="3681" w:type="dxa"/>
            <w:hideMark/>
          </w:tcPr>
          <w:p w:rsidR="00F7293C" w:rsidRPr="00F7293C" w:rsidRDefault="00F7293C" w:rsidP="00F7293C">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rPr>
            </w:pPr>
            <w:proofErr w:type="gramStart"/>
            <w:r w:rsidRPr="00F7293C">
              <w:rPr>
                <w:rFonts w:eastAsia="Times New Roman" w:cs="Calibri"/>
                <w:color w:val="000000"/>
                <w:sz w:val="16"/>
                <w:szCs w:val="16"/>
              </w:rPr>
              <w:t>Urban  (</w:t>
            </w:r>
            <w:proofErr w:type="gramEnd"/>
            <w:r w:rsidRPr="00F7293C">
              <w:rPr>
                <w:rFonts w:eastAsia="Times New Roman" w:cs="Calibri"/>
                <w:color w:val="000000"/>
                <w:sz w:val="16"/>
                <w:szCs w:val="16"/>
              </w:rPr>
              <w:t xml:space="preserve">general transfers) only health component. Note we don't need to use these GFS codes but can extract health portion from project numbers. </w:t>
            </w:r>
          </w:p>
        </w:tc>
        <w:tc>
          <w:tcPr>
            <w:tcW w:w="1350" w:type="dxa"/>
            <w:hideMark/>
          </w:tcPr>
          <w:p w:rsidR="00F7293C" w:rsidRPr="00F7293C" w:rsidRDefault="00F7293C" w:rsidP="00F7293C">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rPr>
            </w:pPr>
            <w:r w:rsidRPr="00F7293C">
              <w:rPr>
                <w:rFonts w:eastAsia="Times New Roman" w:cs="Calibri"/>
                <w:color w:val="000000"/>
                <w:sz w:val="16"/>
                <w:szCs w:val="16"/>
              </w:rPr>
              <w:t> </w:t>
            </w:r>
          </w:p>
        </w:tc>
        <w:tc>
          <w:tcPr>
            <w:tcW w:w="2340" w:type="dxa"/>
            <w:hideMark/>
          </w:tcPr>
          <w:p w:rsidR="00F7293C" w:rsidRPr="00F7293C" w:rsidRDefault="00F7293C" w:rsidP="00F7293C">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rPr>
            </w:pPr>
            <w:r w:rsidRPr="00F7293C">
              <w:rPr>
                <w:rFonts w:eastAsia="Times New Roman" w:cs="Calibri"/>
                <w:color w:val="000000"/>
                <w:sz w:val="16"/>
                <w:szCs w:val="16"/>
              </w:rPr>
              <w:t> </w:t>
            </w:r>
          </w:p>
        </w:tc>
      </w:tr>
      <w:tr w:rsidR="00F7293C" w:rsidRPr="00F7293C" w:rsidTr="00F7293C">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369" w:type="dxa"/>
            <w:hideMark/>
          </w:tcPr>
          <w:p w:rsidR="00F7293C" w:rsidRPr="00F7293C" w:rsidRDefault="00F7293C" w:rsidP="00F7293C">
            <w:pPr>
              <w:spacing w:after="0" w:line="240" w:lineRule="auto"/>
              <w:jc w:val="right"/>
              <w:rPr>
                <w:rFonts w:asciiTheme="minorHAnsi" w:eastAsia="Times New Roman" w:hAnsiTheme="minorHAnsi" w:cs="Calibri"/>
                <w:color w:val="000000"/>
                <w:sz w:val="16"/>
                <w:szCs w:val="16"/>
              </w:rPr>
            </w:pPr>
            <w:r w:rsidRPr="00F7293C">
              <w:rPr>
                <w:rFonts w:asciiTheme="minorHAnsi" w:eastAsia="Times New Roman" w:hAnsiTheme="minorHAnsi" w:cs="Calibri"/>
                <w:color w:val="000000"/>
                <w:sz w:val="16"/>
                <w:szCs w:val="16"/>
              </w:rPr>
              <w:t>271105</w:t>
            </w:r>
          </w:p>
        </w:tc>
        <w:tc>
          <w:tcPr>
            <w:tcW w:w="3681" w:type="dxa"/>
            <w:hideMark/>
          </w:tcPr>
          <w:p w:rsidR="00F7293C" w:rsidRPr="00F7293C" w:rsidRDefault="00F7293C" w:rsidP="00F7293C">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Calibri"/>
                <w:color w:val="000000"/>
                <w:sz w:val="16"/>
                <w:szCs w:val="16"/>
              </w:rPr>
            </w:pPr>
            <w:r w:rsidRPr="00F7293C">
              <w:rPr>
                <w:rFonts w:eastAsia="Times New Roman" w:cs="Calibri"/>
                <w:color w:val="000000"/>
                <w:sz w:val="16"/>
                <w:szCs w:val="16"/>
              </w:rPr>
              <w:t>health transfers (district and Urban)</w:t>
            </w:r>
          </w:p>
        </w:tc>
        <w:tc>
          <w:tcPr>
            <w:tcW w:w="1350" w:type="dxa"/>
            <w:hideMark/>
          </w:tcPr>
          <w:p w:rsidR="00F7293C" w:rsidRPr="00F7293C" w:rsidRDefault="00F7293C" w:rsidP="00F7293C">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Calibri"/>
                <w:color w:val="000000"/>
                <w:sz w:val="16"/>
                <w:szCs w:val="16"/>
              </w:rPr>
            </w:pPr>
            <w:r w:rsidRPr="00F7293C">
              <w:rPr>
                <w:rFonts w:eastAsia="Times New Roman" w:cs="Calibri"/>
                <w:color w:val="000000"/>
                <w:sz w:val="16"/>
                <w:szCs w:val="16"/>
              </w:rPr>
              <w:t> </w:t>
            </w:r>
          </w:p>
        </w:tc>
        <w:tc>
          <w:tcPr>
            <w:tcW w:w="2340" w:type="dxa"/>
            <w:hideMark/>
          </w:tcPr>
          <w:p w:rsidR="00F7293C" w:rsidRPr="00F7293C" w:rsidRDefault="00F7293C" w:rsidP="00F7293C">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Calibri"/>
                <w:color w:val="000000"/>
                <w:sz w:val="16"/>
                <w:szCs w:val="16"/>
              </w:rPr>
            </w:pPr>
            <w:r w:rsidRPr="00F7293C">
              <w:rPr>
                <w:rFonts w:eastAsia="Times New Roman" w:cs="Calibri"/>
                <w:color w:val="000000"/>
                <w:sz w:val="16"/>
                <w:szCs w:val="16"/>
              </w:rPr>
              <w:t> </w:t>
            </w:r>
          </w:p>
        </w:tc>
      </w:tr>
      <w:tr w:rsidR="00F7293C" w:rsidRPr="00F7293C" w:rsidTr="00F7293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369" w:type="dxa"/>
            <w:hideMark/>
          </w:tcPr>
          <w:p w:rsidR="00F7293C" w:rsidRPr="00F7293C" w:rsidRDefault="00F7293C" w:rsidP="00F7293C">
            <w:pPr>
              <w:spacing w:after="0" w:line="240" w:lineRule="auto"/>
              <w:jc w:val="right"/>
              <w:rPr>
                <w:rFonts w:asciiTheme="minorHAnsi" w:eastAsia="Times New Roman" w:hAnsiTheme="minorHAnsi" w:cs="Calibri"/>
                <w:color w:val="000000"/>
                <w:sz w:val="16"/>
                <w:szCs w:val="16"/>
              </w:rPr>
            </w:pPr>
            <w:r w:rsidRPr="00F7293C">
              <w:rPr>
                <w:rFonts w:asciiTheme="minorHAnsi" w:eastAsia="Times New Roman" w:hAnsiTheme="minorHAnsi" w:cs="Calibri"/>
                <w:color w:val="000000"/>
                <w:sz w:val="16"/>
                <w:szCs w:val="16"/>
              </w:rPr>
              <w:t>280201</w:t>
            </w:r>
          </w:p>
        </w:tc>
        <w:tc>
          <w:tcPr>
            <w:tcW w:w="3681" w:type="dxa"/>
            <w:hideMark/>
          </w:tcPr>
          <w:p w:rsidR="00F7293C" w:rsidRPr="00F7293C" w:rsidRDefault="00F7293C" w:rsidP="00F7293C">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rPr>
            </w:pPr>
            <w:r w:rsidRPr="00F7293C">
              <w:rPr>
                <w:rFonts w:eastAsia="Times New Roman" w:cs="Calibri"/>
                <w:color w:val="000000"/>
                <w:sz w:val="16"/>
                <w:szCs w:val="16"/>
              </w:rPr>
              <w:t>Medical treatment abroad</w:t>
            </w:r>
          </w:p>
        </w:tc>
        <w:tc>
          <w:tcPr>
            <w:tcW w:w="1350" w:type="dxa"/>
            <w:hideMark/>
          </w:tcPr>
          <w:p w:rsidR="00F7293C" w:rsidRPr="00F7293C" w:rsidRDefault="00F7293C" w:rsidP="00F7293C">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rPr>
            </w:pPr>
            <w:r w:rsidRPr="00F7293C">
              <w:rPr>
                <w:rFonts w:eastAsia="Times New Roman" w:cs="Calibri"/>
                <w:color w:val="000000"/>
                <w:sz w:val="16"/>
                <w:szCs w:val="16"/>
              </w:rPr>
              <w:t> </w:t>
            </w:r>
          </w:p>
        </w:tc>
        <w:tc>
          <w:tcPr>
            <w:tcW w:w="2340" w:type="dxa"/>
            <w:hideMark/>
          </w:tcPr>
          <w:p w:rsidR="00F7293C" w:rsidRPr="00F7293C" w:rsidRDefault="00F7293C" w:rsidP="00F7293C">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rPr>
            </w:pPr>
            <w:r w:rsidRPr="00F7293C">
              <w:rPr>
                <w:rFonts w:eastAsia="Times New Roman" w:cs="Calibri"/>
                <w:color w:val="000000"/>
                <w:sz w:val="16"/>
                <w:szCs w:val="16"/>
              </w:rPr>
              <w:t> </w:t>
            </w:r>
          </w:p>
        </w:tc>
      </w:tr>
      <w:tr w:rsidR="00F7293C" w:rsidRPr="00F7293C" w:rsidTr="00F7293C">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369" w:type="dxa"/>
            <w:hideMark/>
          </w:tcPr>
          <w:p w:rsidR="00F7293C" w:rsidRPr="00F7293C" w:rsidRDefault="00F7293C" w:rsidP="00F7293C">
            <w:pPr>
              <w:spacing w:after="0" w:line="240" w:lineRule="auto"/>
              <w:jc w:val="right"/>
              <w:rPr>
                <w:rFonts w:asciiTheme="minorHAnsi" w:eastAsia="Times New Roman" w:hAnsiTheme="minorHAnsi" w:cs="Calibri"/>
                <w:color w:val="000000"/>
                <w:sz w:val="16"/>
                <w:szCs w:val="16"/>
              </w:rPr>
            </w:pPr>
            <w:r w:rsidRPr="00F7293C">
              <w:rPr>
                <w:rFonts w:asciiTheme="minorHAnsi" w:eastAsia="Times New Roman" w:hAnsiTheme="minorHAnsi" w:cs="Calibri"/>
                <w:color w:val="000000"/>
                <w:sz w:val="16"/>
                <w:szCs w:val="16"/>
              </w:rPr>
              <w:t>280403</w:t>
            </w:r>
          </w:p>
        </w:tc>
        <w:tc>
          <w:tcPr>
            <w:tcW w:w="3681" w:type="dxa"/>
            <w:hideMark/>
          </w:tcPr>
          <w:p w:rsidR="00F7293C" w:rsidRPr="00F7293C" w:rsidRDefault="00F7293C" w:rsidP="00F7293C">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Calibri"/>
                <w:color w:val="000000"/>
                <w:sz w:val="16"/>
                <w:szCs w:val="16"/>
              </w:rPr>
            </w:pPr>
            <w:proofErr w:type="spellStart"/>
            <w:r w:rsidRPr="00F7293C">
              <w:rPr>
                <w:rFonts w:eastAsia="Times New Roman" w:cs="Calibri"/>
                <w:color w:val="000000"/>
                <w:sz w:val="16"/>
                <w:szCs w:val="16"/>
              </w:rPr>
              <w:t>Emerg</w:t>
            </w:r>
            <w:proofErr w:type="spellEnd"/>
            <w:r w:rsidRPr="00F7293C">
              <w:rPr>
                <w:rFonts w:eastAsia="Times New Roman" w:cs="Calibri"/>
                <w:color w:val="000000"/>
                <w:sz w:val="16"/>
                <w:szCs w:val="16"/>
              </w:rPr>
              <w:t>. Med</w:t>
            </w:r>
          </w:p>
        </w:tc>
        <w:tc>
          <w:tcPr>
            <w:tcW w:w="1350" w:type="dxa"/>
            <w:hideMark/>
          </w:tcPr>
          <w:p w:rsidR="00F7293C" w:rsidRPr="00F7293C" w:rsidRDefault="00F7293C" w:rsidP="00F7293C">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Calibri"/>
                <w:color w:val="000000"/>
                <w:sz w:val="16"/>
                <w:szCs w:val="16"/>
              </w:rPr>
            </w:pPr>
            <w:r w:rsidRPr="00F7293C">
              <w:rPr>
                <w:rFonts w:eastAsia="Times New Roman" w:cs="Calibri"/>
                <w:color w:val="000000"/>
                <w:sz w:val="16"/>
                <w:szCs w:val="16"/>
              </w:rPr>
              <w:t> </w:t>
            </w:r>
          </w:p>
        </w:tc>
        <w:tc>
          <w:tcPr>
            <w:tcW w:w="2340" w:type="dxa"/>
            <w:hideMark/>
          </w:tcPr>
          <w:p w:rsidR="00F7293C" w:rsidRPr="00F7293C" w:rsidRDefault="00F7293C" w:rsidP="00F7293C">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Calibri"/>
                <w:color w:val="000000"/>
                <w:sz w:val="16"/>
                <w:szCs w:val="16"/>
              </w:rPr>
            </w:pPr>
            <w:r w:rsidRPr="00F7293C">
              <w:rPr>
                <w:rFonts w:eastAsia="Times New Roman" w:cs="Calibri"/>
                <w:color w:val="000000"/>
                <w:sz w:val="16"/>
                <w:szCs w:val="16"/>
              </w:rPr>
              <w:t> </w:t>
            </w:r>
          </w:p>
        </w:tc>
      </w:tr>
      <w:tr w:rsidR="00F7293C" w:rsidRPr="00F7293C" w:rsidTr="00F7293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369" w:type="dxa"/>
            <w:hideMark/>
          </w:tcPr>
          <w:p w:rsidR="00F7293C" w:rsidRPr="00F7293C" w:rsidRDefault="00F7293C" w:rsidP="00F7293C">
            <w:pPr>
              <w:spacing w:after="0" w:line="240" w:lineRule="auto"/>
              <w:jc w:val="right"/>
              <w:rPr>
                <w:rFonts w:asciiTheme="minorHAnsi" w:eastAsia="Times New Roman" w:hAnsiTheme="minorHAnsi" w:cs="Calibri"/>
                <w:color w:val="000000"/>
                <w:sz w:val="16"/>
                <w:szCs w:val="16"/>
              </w:rPr>
            </w:pPr>
            <w:r w:rsidRPr="00F7293C">
              <w:rPr>
                <w:rFonts w:asciiTheme="minorHAnsi" w:eastAsia="Times New Roman" w:hAnsiTheme="minorHAnsi" w:cs="Calibri"/>
                <w:color w:val="000000"/>
                <w:sz w:val="16"/>
                <w:szCs w:val="16"/>
              </w:rPr>
              <w:t>280404</w:t>
            </w:r>
          </w:p>
        </w:tc>
        <w:tc>
          <w:tcPr>
            <w:tcW w:w="3681" w:type="dxa"/>
            <w:hideMark/>
          </w:tcPr>
          <w:p w:rsidR="00F7293C" w:rsidRPr="00F7293C" w:rsidRDefault="00F7293C" w:rsidP="00F7293C">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rPr>
            </w:pPr>
            <w:r w:rsidRPr="00F7293C">
              <w:rPr>
                <w:rFonts w:eastAsia="Times New Roman" w:cs="Calibri"/>
                <w:color w:val="000000"/>
                <w:sz w:val="16"/>
                <w:szCs w:val="16"/>
              </w:rPr>
              <w:t>Settlement of med treat</w:t>
            </w:r>
          </w:p>
        </w:tc>
        <w:tc>
          <w:tcPr>
            <w:tcW w:w="1350" w:type="dxa"/>
            <w:hideMark/>
          </w:tcPr>
          <w:p w:rsidR="00F7293C" w:rsidRPr="00F7293C" w:rsidRDefault="00F7293C" w:rsidP="00F7293C">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rPr>
            </w:pPr>
            <w:r w:rsidRPr="00F7293C">
              <w:rPr>
                <w:rFonts w:eastAsia="Times New Roman" w:cs="Calibri"/>
                <w:color w:val="000000"/>
                <w:sz w:val="16"/>
                <w:szCs w:val="16"/>
              </w:rPr>
              <w:t> </w:t>
            </w:r>
          </w:p>
        </w:tc>
        <w:tc>
          <w:tcPr>
            <w:tcW w:w="2340" w:type="dxa"/>
            <w:hideMark/>
          </w:tcPr>
          <w:p w:rsidR="00F7293C" w:rsidRPr="00F7293C" w:rsidRDefault="00F7293C" w:rsidP="00F7293C">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rPr>
            </w:pPr>
            <w:r w:rsidRPr="00F7293C">
              <w:rPr>
                <w:rFonts w:eastAsia="Times New Roman" w:cs="Calibri"/>
                <w:color w:val="000000"/>
                <w:sz w:val="16"/>
                <w:szCs w:val="16"/>
              </w:rPr>
              <w:t> </w:t>
            </w:r>
          </w:p>
        </w:tc>
      </w:tr>
      <w:tr w:rsidR="00F7293C" w:rsidRPr="00F7293C" w:rsidTr="00F7293C">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369" w:type="dxa"/>
            <w:hideMark/>
          </w:tcPr>
          <w:p w:rsidR="00F7293C" w:rsidRPr="00F7293C" w:rsidRDefault="00F7293C" w:rsidP="00F7293C">
            <w:pPr>
              <w:spacing w:after="0" w:line="240" w:lineRule="auto"/>
              <w:jc w:val="right"/>
              <w:rPr>
                <w:rFonts w:asciiTheme="minorHAnsi" w:eastAsia="Times New Roman" w:hAnsiTheme="minorHAnsi" w:cs="Calibri"/>
                <w:color w:val="000000"/>
                <w:sz w:val="16"/>
                <w:szCs w:val="16"/>
              </w:rPr>
            </w:pPr>
            <w:r w:rsidRPr="00F7293C">
              <w:rPr>
                <w:rFonts w:asciiTheme="minorHAnsi" w:eastAsia="Times New Roman" w:hAnsiTheme="minorHAnsi" w:cs="Calibri"/>
                <w:color w:val="000000"/>
                <w:sz w:val="16"/>
                <w:szCs w:val="16"/>
              </w:rPr>
              <w:t>280505</w:t>
            </w:r>
          </w:p>
        </w:tc>
        <w:tc>
          <w:tcPr>
            <w:tcW w:w="3681" w:type="dxa"/>
            <w:hideMark/>
          </w:tcPr>
          <w:p w:rsidR="00F7293C" w:rsidRPr="00F7293C" w:rsidRDefault="00F7293C" w:rsidP="00F7293C">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Calibri"/>
                <w:color w:val="000000"/>
                <w:sz w:val="16"/>
                <w:szCs w:val="16"/>
              </w:rPr>
            </w:pPr>
            <w:r w:rsidRPr="00F7293C">
              <w:rPr>
                <w:rFonts w:eastAsia="Times New Roman" w:cs="Calibri"/>
                <w:color w:val="000000"/>
                <w:sz w:val="16"/>
                <w:szCs w:val="16"/>
              </w:rPr>
              <w:t>health costs</w:t>
            </w:r>
          </w:p>
        </w:tc>
        <w:tc>
          <w:tcPr>
            <w:tcW w:w="1350" w:type="dxa"/>
            <w:hideMark/>
          </w:tcPr>
          <w:p w:rsidR="00F7293C" w:rsidRPr="00F7293C" w:rsidRDefault="00F7293C" w:rsidP="00F7293C">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Calibri"/>
                <w:color w:val="000000"/>
                <w:sz w:val="16"/>
                <w:szCs w:val="16"/>
              </w:rPr>
            </w:pPr>
            <w:r w:rsidRPr="00F7293C">
              <w:rPr>
                <w:rFonts w:eastAsia="Times New Roman" w:cs="Calibri"/>
                <w:color w:val="000000"/>
                <w:sz w:val="16"/>
                <w:szCs w:val="16"/>
              </w:rPr>
              <w:t> </w:t>
            </w:r>
          </w:p>
        </w:tc>
        <w:tc>
          <w:tcPr>
            <w:tcW w:w="2340" w:type="dxa"/>
            <w:hideMark/>
          </w:tcPr>
          <w:p w:rsidR="00F7293C" w:rsidRPr="00F7293C" w:rsidRDefault="00F7293C" w:rsidP="00F7293C">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Calibri"/>
                <w:color w:val="000000"/>
                <w:sz w:val="16"/>
                <w:szCs w:val="16"/>
              </w:rPr>
            </w:pPr>
            <w:r w:rsidRPr="00F7293C">
              <w:rPr>
                <w:rFonts w:eastAsia="Times New Roman" w:cs="Calibri"/>
                <w:color w:val="000000"/>
                <w:sz w:val="16"/>
                <w:szCs w:val="16"/>
              </w:rPr>
              <w:t> </w:t>
            </w:r>
          </w:p>
        </w:tc>
      </w:tr>
      <w:tr w:rsidR="00F7293C" w:rsidRPr="00F7293C" w:rsidTr="00F7293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369" w:type="dxa"/>
            <w:hideMark/>
          </w:tcPr>
          <w:p w:rsidR="00F7293C" w:rsidRPr="00F7293C" w:rsidRDefault="00F7293C" w:rsidP="00F7293C">
            <w:pPr>
              <w:spacing w:after="0" w:line="240" w:lineRule="auto"/>
              <w:jc w:val="right"/>
              <w:rPr>
                <w:rFonts w:asciiTheme="minorHAnsi" w:eastAsia="Times New Roman" w:hAnsiTheme="minorHAnsi" w:cs="Calibri"/>
                <w:color w:val="000000"/>
                <w:sz w:val="16"/>
                <w:szCs w:val="16"/>
              </w:rPr>
            </w:pPr>
            <w:r w:rsidRPr="00F7293C">
              <w:rPr>
                <w:rFonts w:asciiTheme="minorHAnsi" w:eastAsia="Times New Roman" w:hAnsiTheme="minorHAnsi" w:cs="Calibri"/>
                <w:color w:val="000000"/>
                <w:sz w:val="16"/>
                <w:szCs w:val="16"/>
              </w:rPr>
              <w:t>280592</w:t>
            </w:r>
          </w:p>
        </w:tc>
        <w:tc>
          <w:tcPr>
            <w:tcW w:w="3681" w:type="dxa"/>
            <w:hideMark/>
          </w:tcPr>
          <w:p w:rsidR="00F7293C" w:rsidRPr="00F7293C" w:rsidRDefault="00F7293C" w:rsidP="00F7293C">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rPr>
            </w:pPr>
            <w:r w:rsidRPr="00F7293C">
              <w:rPr>
                <w:rFonts w:eastAsia="Times New Roman" w:cs="Calibri"/>
                <w:color w:val="000000"/>
                <w:sz w:val="16"/>
                <w:szCs w:val="16"/>
              </w:rPr>
              <w:t xml:space="preserve">Dar reg. </w:t>
            </w:r>
            <w:proofErr w:type="spellStart"/>
            <w:r w:rsidRPr="00F7293C">
              <w:rPr>
                <w:rFonts w:eastAsia="Times New Roman" w:cs="Calibri"/>
                <w:color w:val="000000"/>
                <w:sz w:val="16"/>
                <w:szCs w:val="16"/>
              </w:rPr>
              <w:t>hosp</w:t>
            </w:r>
            <w:proofErr w:type="spellEnd"/>
          </w:p>
        </w:tc>
        <w:tc>
          <w:tcPr>
            <w:tcW w:w="1350" w:type="dxa"/>
            <w:hideMark/>
          </w:tcPr>
          <w:p w:rsidR="00F7293C" w:rsidRPr="00F7293C" w:rsidRDefault="00F7293C" w:rsidP="00F7293C">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rPr>
            </w:pPr>
            <w:r w:rsidRPr="00F7293C">
              <w:rPr>
                <w:rFonts w:eastAsia="Times New Roman" w:cs="Calibri"/>
                <w:color w:val="000000"/>
                <w:sz w:val="16"/>
                <w:szCs w:val="16"/>
              </w:rPr>
              <w:t> </w:t>
            </w:r>
          </w:p>
        </w:tc>
        <w:tc>
          <w:tcPr>
            <w:tcW w:w="2340" w:type="dxa"/>
            <w:hideMark/>
          </w:tcPr>
          <w:p w:rsidR="00F7293C" w:rsidRPr="00F7293C" w:rsidRDefault="00F7293C" w:rsidP="00F7293C">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rPr>
            </w:pPr>
            <w:r w:rsidRPr="00F7293C">
              <w:rPr>
                <w:rFonts w:eastAsia="Times New Roman" w:cs="Calibri"/>
                <w:color w:val="000000"/>
                <w:sz w:val="16"/>
                <w:szCs w:val="16"/>
              </w:rPr>
              <w:t> </w:t>
            </w:r>
          </w:p>
        </w:tc>
      </w:tr>
      <w:tr w:rsidR="00F7293C" w:rsidRPr="00F7293C" w:rsidTr="00F7293C">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369" w:type="dxa"/>
            <w:hideMark/>
          </w:tcPr>
          <w:p w:rsidR="00F7293C" w:rsidRPr="00F7293C" w:rsidRDefault="00F7293C" w:rsidP="00F7293C">
            <w:pPr>
              <w:spacing w:after="0" w:line="240" w:lineRule="auto"/>
              <w:jc w:val="right"/>
              <w:rPr>
                <w:rFonts w:asciiTheme="minorHAnsi" w:eastAsia="Times New Roman" w:hAnsiTheme="minorHAnsi" w:cs="Calibri"/>
                <w:color w:val="000000"/>
                <w:sz w:val="16"/>
                <w:szCs w:val="16"/>
              </w:rPr>
            </w:pPr>
            <w:r w:rsidRPr="00F7293C">
              <w:rPr>
                <w:rFonts w:asciiTheme="minorHAnsi" w:eastAsia="Times New Roman" w:hAnsiTheme="minorHAnsi" w:cs="Calibri"/>
                <w:color w:val="000000"/>
                <w:sz w:val="16"/>
                <w:szCs w:val="16"/>
              </w:rPr>
              <w:t>410406</w:t>
            </w:r>
          </w:p>
        </w:tc>
        <w:tc>
          <w:tcPr>
            <w:tcW w:w="3681" w:type="dxa"/>
            <w:hideMark/>
          </w:tcPr>
          <w:p w:rsidR="00F7293C" w:rsidRPr="00F7293C" w:rsidRDefault="00F7293C" w:rsidP="00F7293C">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Calibri"/>
                <w:color w:val="000000"/>
                <w:sz w:val="16"/>
                <w:szCs w:val="16"/>
              </w:rPr>
            </w:pPr>
            <w:r w:rsidRPr="00F7293C">
              <w:rPr>
                <w:rFonts w:eastAsia="Times New Roman" w:cs="Calibri"/>
                <w:color w:val="000000"/>
                <w:sz w:val="16"/>
                <w:szCs w:val="16"/>
              </w:rPr>
              <w:t>Medical Equip</w:t>
            </w:r>
          </w:p>
        </w:tc>
        <w:tc>
          <w:tcPr>
            <w:tcW w:w="1350" w:type="dxa"/>
            <w:hideMark/>
          </w:tcPr>
          <w:p w:rsidR="00F7293C" w:rsidRPr="00F7293C" w:rsidRDefault="00F7293C" w:rsidP="00F7293C">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Calibri"/>
                <w:color w:val="000000"/>
                <w:sz w:val="16"/>
                <w:szCs w:val="16"/>
              </w:rPr>
            </w:pPr>
            <w:r w:rsidRPr="00F7293C">
              <w:rPr>
                <w:rFonts w:eastAsia="Times New Roman" w:cs="Calibri"/>
                <w:color w:val="000000"/>
                <w:sz w:val="16"/>
                <w:szCs w:val="16"/>
              </w:rPr>
              <w:t> </w:t>
            </w:r>
          </w:p>
        </w:tc>
        <w:tc>
          <w:tcPr>
            <w:tcW w:w="2340" w:type="dxa"/>
            <w:hideMark/>
          </w:tcPr>
          <w:p w:rsidR="00F7293C" w:rsidRPr="00F7293C" w:rsidRDefault="00F7293C" w:rsidP="00F7293C">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Calibri"/>
                <w:color w:val="000000"/>
                <w:sz w:val="16"/>
                <w:szCs w:val="16"/>
              </w:rPr>
            </w:pPr>
            <w:r w:rsidRPr="00F7293C">
              <w:rPr>
                <w:rFonts w:eastAsia="Times New Roman" w:cs="Calibri"/>
                <w:color w:val="000000"/>
                <w:sz w:val="16"/>
                <w:szCs w:val="16"/>
              </w:rPr>
              <w:t> </w:t>
            </w:r>
          </w:p>
        </w:tc>
      </w:tr>
      <w:tr w:rsidR="00F7293C" w:rsidRPr="00F7293C" w:rsidTr="00F7293C">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1369" w:type="dxa"/>
            <w:hideMark/>
          </w:tcPr>
          <w:p w:rsidR="00F7293C" w:rsidRPr="00F7293C" w:rsidRDefault="00F7293C" w:rsidP="00F7293C">
            <w:pPr>
              <w:spacing w:after="0" w:line="240" w:lineRule="auto"/>
              <w:jc w:val="right"/>
              <w:rPr>
                <w:rFonts w:asciiTheme="minorHAnsi" w:eastAsia="Times New Roman" w:hAnsiTheme="minorHAnsi" w:cs="Calibri"/>
                <w:color w:val="000000"/>
                <w:sz w:val="16"/>
                <w:szCs w:val="16"/>
              </w:rPr>
            </w:pPr>
            <w:r w:rsidRPr="00F7293C">
              <w:rPr>
                <w:rFonts w:asciiTheme="minorHAnsi" w:eastAsia="Times New Roman" w:hAnsiTheme="minorHAnsi" w:cs="Calibri"/>
                <w:color w:val="000000"/>
                <w:sz w:val="16"/>
                <w:szCs w:val="16"/>
              </w:rPr>
              <w:t>410908</w:t>
            </w:r>
          </w:p>
        </w:tc>
        <w:tc>
          <w:tcPr>
            <w:tcW w:w="3681" w:type="dxa"/>
            <w:hideMark/>
          </w:tcPr>
          <w:p w:rsidR="00F7293C" w:rsidRPr="00F7293C" w:rsidRDefault="00F7293C" w:rsidP="00F7293C">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rPr>
            </w:pPr>
            <w:r w:rsidRPr="00F7293C">
              <w:rPr>
                <w:rFonts w:eastAsia="Times New Roman" w:cs="Calibri"/>
                <w:color w:val="000000"/>
                <w:sz w:val="16"/>
                <w:szCs w:val="16"/>
              </w:rPr>
              <w:t xml:space="preserve">Medical and </w:t>
            </w:r>
            <w:proofErr w:type="spellStart"/>
            <w:r w:rsidRPr="00F7293C">
              <w:rPr>
                <w:rFonts w:eastAsia="Times New Roman" w:cs="Calibri"/>
                <w:color w:val="000000"/>
                <w:sz w:val="16"/>
                <w:szCs w:val="16"/>
              </w:rPr>
              <w:t>scientif</w:t>
            </w:r>
            <w:proofErr w:type="spellEnd"/>
            <w:r w:rsidRPr="00F7293C">
              <w:rPr>
                <w:rFonts w:eastAsia="Times New Roman" w:cs="Calibri"/>
                <w:color w:val="000000"/>
                <w:sz w:val="16"/>
                <w:szCs w:val="16"/>
              </w:rPr>
              <w:t xml:space="preserve"> instruments (ONLY MOHSW portion)</w:t>
            </w:r>
          </w:p>
        </w:tc>
        <w:tc>
          <w:tcPr>
            <w:tcW w:w="1350" w:type="dxa"/>
            <w:hideMark/>
          </w:tcPr>
          <w:p w:rsidR="00F7293C" w:rsidRPr="00F7293C" w:rsidRDefault="00F7293C" w:rsidP="00F7293C">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rPr>
            </w:pPr>
            <w:r w:rsidRPr="00F7293C">
              <w:rPr>
                <w:rFonts w:eastAsia="Times New Roman" w:cs="Calibri"/>
                <w:color w:val="000000"/>
                <w:sz w:val="16"/>
                <w:szCs w:val="16"/>
              </w:rPr>
              <w:t> </w:t>
            </w:r>
          </w:p>
        </w:tc>
        <w:tc>
          <w:tcPr>
            <w:tcW w:w="2340" w:type="dxa"/>
            <w:hideMark/>
          </w:tcPr>
          <w:p w:rsidR="00F7293C" w:rsidRPr="00F7293C" w:rsidRDefault="00F7293C" w:rsidP="00F7293C">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rPr>
            </w:pPr>
            <w:r w:rsidRPr="00F7293C">
              <w:rPr>
                <w:rFonts w:eastAsia="Times New Roman" w:cs="Calibri"/>
                <w:color w:val="000000"/>
                <w:sz w:val="16"/>
                <w:szCs w:val="16"/>
              </w:rPr>
              <w:t> </w:t>
            </w:r>
          </w:p>
        </w:tc>
      </w:tr>
      <w:tr w:rsidR="00F7293C" w:rsidRPr="00F7293C" w:rsidTr="00F7293C">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369" w:type="dxa"/>
            <w:hideMark/>
          </w:tcPr>
          <w:p w:rsidR="00F7293C" w:rsidRPr="00F7293C" w:rsidRDefault="00F7293C" w:rsidP="00F7293C">
            <w:pPr>
              <w:spacing w:after="0" w:line="240" w:lineRule="auto"/>
              <w:jc w:val="right"/>
              <w:rPr>
                <w:rFonts w:asciiTheme="minorHAnsi" w:eastAsia="Times New Roman" w:hAnsiTheme="minorHAnsi" w:cs="Calibri"/>
                <w:color w:val="000000"/>
                <w:sz w:val="16"/>
                <w:szCs w:val="16"/>
              </w:rPr>
            </w:pPr>
            <w:r w:rsidRPr="00F7293C">
              <w:rPr>
                <w:rFonts w:asciiTheme="minorHAnsi" w:eastAsia="Times New Roman" w:hAnsiTheme="minorHAnsi" w:cs="Calibri"/>
                <w:color w:val="000000"/>
                <w:sz w:val="16"/>
                <w:szCs w:val="16"/>
              </w:rPr>
              <w:t>411006</w:t>
            </w:r>
          </w:p>
        </w:tc>
        <w:tc>
          <w:tcPr>
            <w:tcW w:w="3681" w:type="dxa"/>
            <w:hideMark/>
          </w:tcPr>
          <w:p w:rsidR="00F7293C" w:rsidRPr="00F7293C" w:rsidRDefault="00F7293C" w:rsidP="00F7293C">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Calibri"/>
                <w:color w:val="000000"/>
                <w:sz w:val="16"/>
                <w:szCs w:val="16"/>
              </w:rPr>
            </w:pPr>
            <w:r w:rsidRPr="00F7293C">
              <w:rPr>
                <w:rFonts w:eastAsia="Times New Roman" w:cs="Calibri"/>
                <w:color w:val="000000"/>
                <w:sz w:val="16"/>
                <w:szCs w:val="16"/>
              </w:rPr>
              <w:t>Hospitals</w:t>
            </w:r>
          </w:p>
        </w:tc>
        <w:tc>
          <w:tcPr>
            <w:tcW w:w="1350" w:type="dxa"/>
            <w:hideMark/>
          </w:tcPr>
          <w:p w:rsidR="00F7293C" w:rsidRPr="00F7293C" w:rsidRDefault="00F7293C" w:rsidP="00F7293C">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Calibri"/>
                <w:color w:val="000000"/>
                <w:sz w:val="16"/>
                <w:szCs w:val="16"/>
              </w:rPr>
            </w:pPr>
            <w:r w:rsidRPr="00F7293C">
              <w:rPr>
                <w:rFonts w:eastAsia="Times New Roman" w:cs="Calibri"/>
                <w:color w:val="000000"/>
                <w:sz w:val="16"/>
                <w:szCs w:val="16"/>
              </w:rPr>
              <w:t> </w:t>
            </w:r>
          </w:p>
        </w:tc>
        <w:tc>
          <w:tcPr>
            <w:tcW w:w="2340" w:type="dxa"/>
            <w:hideMark/>
          </w:tcPr>
          <w:p w:rsidR="00F7293C" w:rsidRPr="00F7293C" w:rsidRDefault="00F7293C" w:rsidP="00F7293C">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Calibri"/>
                <w:color w:val="000000"/>
                <w:sz w:val="16"/>
                <w:szCs w:val="16"/>
              </w:rPr>
            </w:pPr>
            <w:r w:rsidRPr="00F7293C">
              <w:rPr>
                <w:rFonts w:eastAsia="Times New Roman" w:cs="Calibri"/>
                <w:color w:val="000000"/>
                <w:sz w:val="16"/>
                <w:szCs w:val="16"/>
              </w:rPr>
              <w:t> </w:t>
            </w:r>
          </w:p>
        </w:tc>
      </w:tr>
      <w:tr w:rsidR="00F7293C" w:rsidRPr="00F7293C" w:rsidTr="00F7293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369" w:type="dxa"/>
            <w:hideMark/>
          </w:tcPr>
          <w:p w:rsidR="00F7293C" w:rsidRPr="00F7293C" w:rsidRDefault="00F7293C" w:rsidP="00F7293C">
            <w:pPr>
              <w:spacing w:after="0" w:line="240" w:lineRule="auto"/>
              <w:jc w:val="right"/>
              <w:rPr>
                <w:rFonts w:asciiTheme="minorHAnsi" w:eastAsia="Times New Roman" w:hAnsiTheme="minorHAnsi" w:cs="Calibri"/>
                <w:color w:val="000000"/>
                <w:sz w:val="16"/>
                <w:szCs w:val="16"/>
              </w:rPr>
            </w:pPr>
            <w:r w:rsidRPr="00F7293C">
              <w:rPr>
                <w:rFonts w:asciiTheme="minorHAnsi" w:eastAsia="Times New Roman" w:hAnsiTheme="minorHAnsi" w:cs="Calibri"/>
                <w:color w:val="000000"/>
                <w:sz w:val="16"/>
                <w:szCs w:val="16"/>
              </w:rPr>
              <w:t>210605</w:t>
            </w:r>
          </w:p>
        </w:tc>
        <w:tc>
          <w:tcPr>
            <w:tcW w:w="3681" w:type="dxa"/>
            <w:hideMark/>
          </w:tcPr>
          <w:p w:rsidR="00F7293C" w:rsidRPr="00F7293C" w:rsidRDefault="00F7293C" w:rsidP="00F7293C">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rPr>
            </w:pPr>
            <w:r w:rsidRPr="00F7293C">
              <w:rPr>
                <w:rFonts w:eastAsia="Times New Roman" w:cs="Calibri"/>
                <w:color w:val="000000"/>
                <w:sz w:val="16"/>
                <w:szCs w:val="16"/>
              </w:rPr>
              <w:t>NHIF Employer contribution</w:t>
            </w:r>
          </w:p>
        </w:tc>
        <w:tc>
          <w:tcPr>
            <w:tcW w:w="1350" w:type="dxa"/>
            <w:hideMark/>
          </w:tcPr>
          <w:p w:rsidR="00F7293C" w:rsidRPr="00F7293C" w:rsidRDefault="00F7293C" w:rsidP="00F7293C">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rPr>
            </w:pPr>
            <w:r w:rsidRPr="00F7293C">
              <w:rPr>
                <w:rFonts w:eastAsia="Times New Roman" w:cs="Calibri"/>
                <w:color w:val="000000"/>
                <w:sz w:val="16"/>
                <w:szCs w:val="16"/>
              </w:rPr>
              <w:t> </w:t>
            </w:r>
          </w:p>
        </w:tc>
        <w:tc>
          <w:tcPr>
            <w:tcW w:w="2340" w:type="dxa"/>
            <w:hideMark/>
          </w:tcPr>
          <w:p w:rsidR="00F7293C" w:rsidRPr="00F7293C" w:rsidRDefault="00F7293C" w:rsidP="00F7293C">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rPr>
            </w:pPr>
            <w:r w:rsidRPr="00F7293C">
              <w:rPr>
                <w:rFonts w:eastAsia="Times New Roman" w:cs="Calibri"/>
                <w:color w:val="000000"/>
                <w:sz w:val="16"/>
                <w:szCs w:val="16"/>
              </w:rPr>
              <w:t> </w:t>
            </w:r>
          </w:p>
        </w:tc>
      </w:tr>
      <w:tr w:rsidR="00F7293C" w:rsidRPr="00F7293C" w:rsidTr="00F7293C">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369" w:type="dxa"/>
            <w:hideMark/>
          </w:tcPr>
          <w:p w:rsidR="00F7293C" w:rsidRPr="00F7293C" w:rsidRDefault="00F7293C" w:rsidP="00F7293C">
            <w:pPr>
              <w:spacing w:after="0" w:line="240" w:lineRule="auto"/>
              <w:jc w:val="right"/>
              <w:rPr>
                <w:rFonts w:asciiTheme="minorHAnsi" w:eastAsia="Times New Roman" w:hAnsiTheme="minorHAnsi" w:cs="Calibri"/>
                <w:color w:val="000000"/>
                <w:sz w:val="16"/>
                <w:szCs w:val="16"/>
              </w:rPr>
            </w:pPr>
            <w:r w:rsidRPr="00F7293C">
              <w:rPr>
                <w:rFonts w:asciiTheme="minorHAnsi" w:eastAsia="Times New Roman" w:hAnsiTheme="minorHAnsi" w:cs="Calibri"/>
                <w:color w:val="000000"/>
                <w:sz w:val="16"/>
                <w:szCs w:val="16"/>
              </w:rPr>
              <w:t>2204 cluster</w:t>
            </w:r>
          </w:p>
        </w:tc>
        <w:tc>
          <w:tcPr>
            <w:tcW w:w="3681" w:type="dxa"/>
            <w:hideMark/>
          </w:tcPr>
          <w:p w:rsidR="00F7293C" w:rsidRPr="00F7293C" w:rsidRDefault="00F7293C" w:rsidP="00F7293C">
            <w:pPr>
              <w:spacing w:after="0" w:line="240" w:lineRule="auto"/>
              <w:jc w:val="right"/>
              <w:cnfStyle w:val="000000010000" w:firstRow="0" w:lastRow="0" w:firstColumn="0" w:lastColumn="0" w:oddVBand="0" w:evenVBand="0" w:oddHBand="0" w:evenHBand="1" w:firstRowFirstColumn="0" w:firstRowLastColumn="0" w:lastRowFirstColumn="0" w:lastRowLastColumn="0"/>
              <w:rPr>
                <w:rFonts w:eastAsia="Times New Roman" w:cs="Calibri"/>
                <w:color w:val="000000"/>
                <w:sz w:val="16"/>
                <w:szCs w:val="16"/>
              </w:rPr>
            </w:pPr>
            <w:r w:rsidRPr="00F7293C">
              <w:rPr>
                <w:rFonts w:eastAsia="Times New Roman" w:cs="Calibri"/>
                <w:color w:val="000000"/>
                <w:sz w:val="16"/>
                <w:szCs w:val="16"/>
              </w:rPr>
              <w:t>vaccines</w:t>
            </w:r>
          </w:p>
        </w:tc>
        <w:tc>
          <w:tcPr>
            <w:tcW w:w="1350" w:type="dxa"/>
            <w:hideMark/>
          </w:tcPr>
          <w:p w:rsidR="00F7293C" w:rsidRPr="00F7293C" w:rsidRDefault="00F7293C" w:rsidP="00F7293C">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Calibri"/>
                <w:color w:val="000000"/>
                <w:sz w:val="16"/>
                <w:szCs w:val="16"/>
              </w:rPr>
            </w:pPr>
            <w:r w:rsidRPr="00F7293C">
              <w:rPr>
                <w:rFonts w:eastAsia="Times New Roman" w:cs="Calibri"/>
                <w:color w:val="000000"/>
                <w:sz w:val="16"/>
                <w:szCs w:val="16"/>
              </w:rPr>
              <w:t> </w:t>
            </w:r>
          </w:p>
        </w:tc>
        <w:tc>
          <w:tcPr>
            <w:tcW w:w="2340" w:type="dxa"/>
            <w:hideMark/>
          </w:tcPr>
          <w:p w:rsidR="00F7293C" w:rsidRPr="00F7293C" w:rsidRDefault="00F7293C" w:rsidP="00F7293C">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Calibri"/>
                <w:color w:val="000000"/>
                <w:sz w:val="16"/>
                <w:szCs w:val="16"/>
              </w:rPr>
            </w:pPr>
            <w:r w:rsidRPr="00F7293C">
              <w:rPr>
                <w:rFonts w:eastAsia="Times New Roman" w:cs="Calibri"/>
                <w:color w:val="000000"/>
                <w:sz w:val="16"/>
                <w:szCs w:val="16"/>
              </w:rPr>
              <w:t> </w:t>
            </w:r>
          </w:p>
        </w:tc>
      </w:tr>
      <w:tr w:rsidR="00F7293C" w:rsidRPr="00F7293C" w:rsidTr="00F7293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369" w:type="dxa"/>
            <w:hideMark/>
          </w:tcPr>
          <w:p w:rsidR="00F7293C" w:rsidRPr="00F7293C" w:rsidRDefault="00F7293C" w:rsidP="00F7293C">
            <w:pPr>
              <w:spacing w:after="0" w:line="240" w:lineRule="auto"/>
              <w:jc w:val="right"/>
              <w:rPr>
                <w:rFonts w:asciiTheme="minorHAnsi" w:eastAsia="Times New Roman" w:hAnsiTheme="minorHAnsi" w:cs="Calibri"/>
                <w:color w:val="000000"/>
                <w:sz w:val="16"/>
                <w:szCs w:val="16"/>
              </w:rPr>
            </w:pPr>
            <w:r w:rsidRPr="00F7293C">
              <w:rPr>
                <w:rFonts w:asciiTheme="minorHAnsi" w:eastAsia="Times New Roman" w:hAnsiTheme="minorHAnsi" w:cs="Calibri"/>
                <w:color w:val="000000"/>
                <w:sz w:val="16"/>
                <w:szCs w:val="16"/>
              </w:rPr>
              <w:t> </w:t>
            </w:r>
          </w:p>
        </w:tc>
        <w:tc>
          <w:tcPr>
            <w:tcW w:w="3681" w:type="dxa"/>
            <w:hideMark/>
          </w:tcPr>
          <w:p w:rsidR="00F7293C" w:rsidRPr="00F7293C" w:rsidRDefault="00F7293C" w:rsidP="00F7293C">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rPr>
            </w:pPr>
            <w:r w:rsidRPr="00F7293C">
              <w:rPr>
                <w:rFonts w:eastAsia="Times New Roman" w:cs="Calibri"/>
                <w:color w:val="000000"/>
                <w:sz w:val="16"/>
                <w:szCs w:val="16"/>
              </w:rPr>
              <w:t xml:space="preserve">drugs and </w:t>
            </w:r>
            <w:proofErr w:type="spellStart"/>
            <w:r w:rsidRPr="00F7293C">
              <w:rPr>
                <w:rFonts w:eastAsia="Times New Roman" w:cs="Calibri"/>
                <w:color w:val="000000"/>
                <w:sz w:val="16"/>
                <w:szCs w:val="16"/>
              </w:rPr>
              <w:t>medcines</w:t>
            </w:r>
            <w:proofErr w:type="spellEnd"/>
          </w:p>
        </w:tc>
        <w:tc>
          <w:tcPr>
            <w:tcW w:w="1350" w:type="dxa"/>
            <w:hideMark/>
          </w:tcPr>
          <w:p w:rsidR="00F7293C" w:rsidRPr="00F7293C" w:rsidRDefault="00F7293C" w:rsidP="00F7293C">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rPr>
            </w:pPr>
            <w:r w:rsidRPr="00F7293C">
              <w:rPr>
                <w:rFonts w:eastAsia="Times New Roman" w:cs="Calibri"/>
                <w:color w:val="000000"/>
                <w:sz w:val="16"/>
                <w:szCs w:val="16"/>
              </w:rPr>
              <w:t> </w:t>
            </w:r>
          </w:p>
        </w:tc>
        <w:tc>
          <w:tcPr>
            <w:tcW w:w="2340" w:type="dxa"/>
            <w:hideMark/>
          </w:tcPr>
          <w:p w:rsidR="00F7293C" w:rsidRPr="00F7293C" w:rsidRDefault="00F7293C" w:rsidP="00F7293C">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rPr>
            </w:pPr>
            <w:r w:rsidRPr="00F7293C">
              <w:rPr>
                <w:rFonts w:eastAsia="Times New Roman" w:cs="Calibri"/>
                <w:color w:val="000000"/>
                <w:sz w:val="16"/>
                <w:szCs w:val="16"/>
              </w:rPr>
              <w:t> </w:t>
            </w:r>
          </w:p>
        </w:tc>
      </w:tr>
      <w:tr w:rsidR="00F7293C" w:rsidRPr="00F7293C" w:rsidTr="00F7293C">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369" w:type="dxa"/>
            <w:hideMark/>
          </w:tcPr>
          <w:p w:rsidR="00F7293C" w:rsidRPr="00F7293C" w:rsidRDefault="00F7293C" w:rsidP="00F7293C">
            <w:pPr>
              <w:spacing w:after="0" w:line="240" w:lineRule="auto"/>
              <w:rPr>
                <w:rFonts w:asciiTheme="minorHAnsi" w:eastAsia="Times New Roman" w:hAnsiTheme="minorHAnsi" w:cs="Calibri"/>
                <w:color w:val="000000"/>
                <w:sz w:val="16"/>
                <w:szCs w:val="16"/>
              </w:rPr>
            </w:pPr>
            <w:r w:rsidRPr="00F7293C">
              <w:rPr>
                <w:rFonts w:asciiTheme="minorHAnsi" w:eastAsia="Times New Roman" w:hAnsiTheme="minorHAnsi" w:cs="Calibri"/>
                <w:color w:val="000000"/>
                <w:sz w:val="16"/>
                <w:szCs w:val="16"/>
              </w:rPr>
              <w:t> </w:t>
            </w:r>
          </w:p>
        </w:tc>
        <w:tc>
          <w:tcPr>
            <w:tcW w:w="3681" w:type="dxa"/>
            <w:hideMark/>
          </w:tcPr>
          <w:p w:rsidR="00F7293C" w:rsidRPr="00F7293C" w:rsidRDefault="00F7293C" w:rsidP="00F7293C">
            <w:pPr>
              <w:spacing w:after="0" w:line="240" w:lineRule="auto"/>
              <w:jc w:val="right"/>
              <w:cnfStyle w:val="000000010000" w:firstRow="0" w:lastRow="0" w:firstColumn="0" w:lastColumn="0" w:oddVBand="0" w:evenVBand="0" w:oddHBand="0" w:evenHBand="1" w:firstRowFirstColumn="0" w:firstRowLastColumn="0" w:lastRowFirstColumn="0" w:lastRowLastColumn="0"/>
              <w:rPr>
                <w:rFonts w:eastAsia="Times New Roman" w:cs="Calibri"/>
                <w:color w:val="000000"/>
                <w:sz w:val="16"/>
                <w:szCs w:val="16"/>
              </w:rPr>
            </w:pPr>
            <w:r w:rsidRPr="00F7293C">
              <w:rPr>
                <w:rFonts w:eastAsia="Times New Roman" w:cs="Calibri"/>
                <w:color w:val="000000"/>
                <w:sz w:val="16"/>
                <w:szCs w:val="16"/>
              </w:rPr>
              <w:t>Hospitals supplies</w:t>
            </w:r>
          </w:p>
        </w:tc>
        <w:tc>
          <w:tcPr>
            <w:tcW w:w="1350" w:type="dxa"/>
            <w:hideMark/>
          </w:tcPr>
          <w:p w:rsidR="00F7293C" w:rsidRPr="00F7293C" w:rsidRDefault="00F7293C" w:rsidP="00F7293C">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Calibri"/>
                <w:color w:val="000000"/>
                <w:sz w:val="16"/>
                <w:szCs w:val="16"/>
              </w:rPr>
            </w:pPr>
            <w:r w:rsidRPr="00F7293C">
              <w:rPr>
                <w:rFonts w:eastAsia="Times New Roman" w:cs="Calibri"/>
                <w:color w:val="000000"/>
                <w:sz w:val="16"/>
                <w:szCs w:val="16"/>
              </w:rPr>
              <w:t> </w:t>
            </w:r>
          </w:p>
        </w:tc>
        <w:tc>
          <w:tcPr>
            <w:tcW w:w="2340" w:type="dxa"/>
            <w:hideMark/>
          </w:tcPr>
          <w:p w:rsidR="00F7293C" w:rsidRPr="00F7293C" w:rsidRDefault="00F7293C" w:rsidP="00F7293C">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Calibri"/>
                <w:color w:val="000000"/>
                <w:sz w:val="16"/>
                <w:szCs w:val="16"/>
              </w:rPr>
            </w:pPr>
            <w:r w:rsidRPr="00F7293C">
              <w:rPr>
                <w:rFonts w:eastAsia="Times New Roman" w:cs="Calibri"/>
                <w:color w:val="000000"/>
                <w:sz w:val="16"/>
                <w:szCs w:val="16"/>
              </w:rPr>
              <w:t> </w:t>
            </w:r>
          </w:p>
        </w:tc>
      </w:tr>
      <w:tr w:rsidR="00F7293C" w:rsidRPr="00F7293C" w:rsidTr="00F7293C">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1369" w:type="dxa"/>
            <w:hideMark/>
          </w:tcPr>
          <w:p w:rsidR="00F7293C" w:rsidRPr="00F7293C" w:rsidRDefault="00F7293C" w:rsidP="00F7293C">
            <w:pPr>
              <w:spacing w:after="0" w:line="240" w:lineRule="auto"/>
              <w:rPr>
                <w:rFonts w:asciiTheme="minorHAnsi" w:eastAsia="Times New Roman" w:hAnsiTheme="minorHAnsi" w:cs="Calibri"/>
                <w:color w:val="000000"/>
                <w:sz w:val="16"/>
                <w:szCs w:val="16"/>
              </w:rPr>
            </w:pPr>
            <w:r w:rsidRPr="00F7293C">
              <w:rPr>
                <w:rFonts w:asciiTheme="minorHAnsi" w:eastAsia="Times New Roman" w:hAnsiTheme="minorHAnsi" w:cs="Calibri"/>
                <w:color w:val="000000"/>
                <w:sz w:val="16"/>
                <w:szCs w:val="16"/>
              </w:rPr>
              <w:t> </w:t>
            </w:r>
          </w:p>
        </w:tc>
        <w:tc>
          <w:tcPr>
            <w:tcW w:w="3681" w:type="dxa"/>
            <w:hideMark/>
          </w:tcPr>
          <w:p w:rsidR="00F7293C" w:rsidRPr="00F7293C" w:rsidRDefault="00F7293C" w:rsidP="00F7293C">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rPr>
            </w:pPr>
            <w:r w:rsidRPr="00F7293C">
              <w:rPr>
                <w:rFonts w:eastAsia="Times New Roman" w:cs="Calibri"/>
                <w:color w:val="000000"/>
                <w:sz w:val="16"/>
                <w:szCs w:val="16"/>
              </w:rPr>
              <w:t xml:space="preserve">Post mortem expenditures (with one exception- </w:t>
            </w:r>
            <w:proofErr w:type="spellStart"/>
            <w:r w:rsidRPr="00F7293C">
              <w:rPr>
                <w:rFonts w:eastAsia="Times New Roman" w:cs="Calibri"/>
                <w:color w:val="000000"/>
                <w:sz w:val="16"/>
                <w:szCs w:val="16"/>
              </w:rPr>
              <w:t>crimelab</w:t>
            </w:r>
            <w:proofErr w:type="spellEnd"/>
            <w:r w:rsidRPr="00F7293C">
              <w:rPr>
                <w:rFonts w:eastAsia="Times New Roman" w:cs="Calibri"/>
                <w:color w:val="000000"/>
                <w:sz w:val="16"/>
                <w:szCs w:val="16"/>
              </w:rPr>
              <w:t>)</w:t>
            </w:r>
          </w:p>
        </w:tc>
        <w:tc>
          <w:tcPr>
            <w:tcW w:w="1350" w:type="dxa"/>
            <w:hideMark/>
          </w:tcPr>
          <w:p w:rsidR="00F7293C" w:rsidRPr="00F7293C" w:rsidRDefault="00F7293C" w:rsidP="00F7293C">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rPr>
            </w:pPr>
            <w:r w:rsidRPr="00F7293C">
              <w:rPr>
                <w:rFonts w:eastAsia="Times New Roman" w:cs="Calibri"/>
                <w:color w:val="000000"/>
                <w:sz w:val="16"/>
                <w:szCs w:val="16"/>
              </w:rPr>
              <w:t>2204XX</w:t>
            </w:r>
          </w:p>
        </w:tc>
        <w:tc>
          <w:tcPr>
            <w:tcW w:w="2340" w:type="dxa"/>
            <w:hideMark/>
          </w:tcPr>
          <w:p w:rsidR="00F7293C" w:rsidRPr="00F7293C" w:rsidRDefault="00F7293C" w:rsidP="00F7293C">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rPr>
            </w:pPr>
            <w:r w:rsidRPr="00F7293C">
              <w:rPr>
                <w:rFonts w:eastAsia="Times New Roman" w:cs="Calibri"/>
                <w:color w:val="000000"/>
                <w:sz w:val="16"/>
                <w:szCs w:val="16"/>
              </w:rPr>
              <w:t>Post mortem (for crime lab)</w:t>
            </w:r>
          </w:p>
        </w:tc>
      </w:tr>
      <w:tr w:rsidR="00F7293C" w:rsidRPr="00F7293C" w:rsidTr="00F7293C">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369" w:type="dxa"/>
            <w:hideMark/>
          </w:tcPr>
          <w:p w:rsidR="00F7293C" w:rsidRPr="00F7293C" w:rsidRDefault="00F7293C" w:rsidP="00F7293C">
            <w:pPr>
              <w:spacing w:after="0" w:line="240" w:lineRule="auto"/>
              <w:rPr>
                <w:rFonts w:asciiTheme="minorHAnsi" w:eastAsia="Times New Roman" w:hAnsiTheme="minorHAnsi" w:cs="Calibri"/>
                <w:color w:val="000000"/>
                <w:sz w:val="16"/>
                <w:szCs w:val="16"/>
              </w:rPr>
            </w:pPr>
            <w:r w:rsidRPr="00F7293C">
              <w:rPr>
                <w:rFonts w:asciiTheme="minorHAnsi" w:eastAsia="Times New Roman" w:hAnsiTheme="minorHAnsi" w:cs="Calibri"/>
                <w:color w:val="000000"/>
                <w:sz w:val="16"/>
                <w:szCs w:val="16"/>
              </w:rPr>
              <w:t> </w:t>
            </w:r>
          </w:p>
        </w:tc>
        <w:tc>
          <w:tcPr>
            <w:tcW w:w="3681" w:type="dxa"/>
            <w:hideMark/>
          </w:tcPr>
          <w:p w:rsidR="00F7293C" w:rsidRPr="00F7293C" w:rsidRDefault="00F7293C" w:rsidP="00F7293C">
            <w:pPr>
              <w:spacing w:after="0" w:line="240" w:lineRule="auto"/>
              <w:jc w:val="right"/>
              <w:cnfStyle w:val="000000010000" w:firstRow="0" w:lastRow="0" w:firstColumn="0" w:lastColumn="0" w:oddVBand="0" w:evenVBand="0" w:oddHBand="0" w:evenHBand="1" w:firstRowFirstColumn="0" w:firstRowLastColumn="0" w:lastRowFirstColumn="0" w:lastRowLastColumn="0"/>
              <w:rPr>
                <w:rFonts w:eastAsia="Times New Roman" w:cs="Calibri"/>
                <w:color w:val="000000"/>
                <w:sz w:val="16"/>
                <w:szCs w:val="16"/>
              </w:rPr>
            </w:pPr>
            <w:r w:rsidRPr="00F7293C">
              <w:rPr>
                <w:rFonts w:eastAsia="Times New Roman" w:cs="Calibri"/>
                <w:color w:val="000000"/>
                <w:sz w:val="16"/>
                <w:szCs w:val="16"/>
              </w:rPr>
              <w:t>lab supplies</w:t>
            </w:r>
          </w:p>
        </w:tc>
        <w:tc>
          <w:tcPr>
            <w:tcW w:w="1350" w:type="dxa"/>
            <w:hideMark/>
          </w:tcPr>
          <w:p w:rsidR="00F7293C" w:rsidRPr="00F7293C" w:rsidRDefault="00F7293C" w:rsidP="00F7293C">
            <w:pPr>
              <w:spacing w:after="0" w:line="240" w:lineRule="auto"/>
              <w:jc w:val="right"/>
              <w:cnfStyle w:val="000000010000" w:firstRow="0" w:lastRow="0" w:firstColumn="0" w:lastColumn="0" w:oddVBand="0" w:evenVBand="0" w:oddHBand="0" w:evenHBand="1" w:firstRowFirstColumn="0" w:firstRowLastColumn="0" w:lastRowFirstColumn="0" w:lastRowLastColumn="0"/>
              <w:rPr>
                <w:rFonts w:eastAsia="Times New Roman" w:cs="Calibri"/>
                <w:color w:val="000000"/>
                <w:sz w:val="16"/>
                <w:szCs w:val="16"/>
              </w:rPr>
            </w:pPr>
            <w:r w:rsidRPr="00F7293C">
              <w:rPr>
                <w:rFonts w:eastAsia="Times New Roman" w:cs="Calibri"/>
                <w:color w:val="000000"/>
                <w:sz w:val="16"/>
                <w:szCs w:val="16"/>
              </w:rPr>
              <w:t> </w:t>
            </w:r>
          </w:p>
        </w:tc>
        <w:tc>
          <w:tcPr>
            <w:tcW w:w="2340" w:type="dxa"/>
            <w:hideMark/>
          </w:tcPr>
          <w:p w:rsidR="00F7293C" w:rsidRPr="00F7293C" w:rsidRDefault="00F7293C" w:rsidP="00F7293C">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Calibri"/>
                <w:color w:val="000000"/>
                <w:sz w:val="16"/>
                <w:szCs w:val="16"/>
              </w:rPr>
            </w:pPr>
            <w:r w:rsidRPr="00F7293C">
              <w:rPr>
                <w:rFonts w:eastAsia="Times New Roman" w:cs="Calibri"/>
                <w:color w:val="000000"/>
                <w:sz w:val="16"/>
                <w:szCs w:val="16"/>
              </w:rPr>
              <w:t> </w:t>
            </w:r>
          </w:p>
        </w:tc>
      </w:tr>
      <w:tr w:rsidR="00F7293C" w:rsidRPr="00F7293C" w:rsidTr="00F7293C">
        <w:trPr>
          <w:cnfStyle w:val="000000100000" w:firstRow="0" w:lastRow="0" w:firstColumn="0" w:lastColumn="0" w:oddVBand="0" w:evenVBand="0" w:oddHBand="1" w:evenHBand="0" w:firstRowFirstColumn="0" w:firstRowLastColumn="0" w:lastRowFirstColumn="0" w:lastRowLastColumn="0"/>
          <w:trHeight w:val="945"/>
        </w:trPr>
        <w:tc>
          <w:tcPr>
            <w:cnfStyle w:val="001000000000" w:firstRow="0" w:lastRow="0" w:firstColumn="1" w:lastColumn="0" w:oddVBand="0" w:evenVBand="0" w:oddHBand="0" w:evenHBand="0" w:firstRowFirstColumn="0" w:firstRowLastColumn="0" w:lastRowFirstColumn="0" w:lastRowLastColumn="0"/>
            <w:tcW w:w="1369" w:type="dxa"/>
            <w:hideMark/>
          </w:tcPr>
          <w:p w:rsidR="00F7293C" w:rsidRPr="00F7293C" w:rsidRDefault="00F7293C" w:rsidP="00F7293C">
            <w:pPr>
              <w:spacing w:after="0" w:line="240" w:lineRule="auto"/>
              <w:rPr>
                <w:rFonts w:asciiTheme="minorHAnsi" w:eastAsia="Times New Roman" w:hAnsiTheme="minorHAnsi" w:cs="Calibri"/>
                <w:color w:val="000000"/>
                <w:sz w:val="16"/>
                <w:szCs w:val="16"/>
              </w:rPr>
            </w:pPr>
            <w:r w:rsidRPr="00F7293C">
              <w:rPr>
                <w:rFonts w:asciiTheme="minorHAnsi" w:eastAsia="Times New Roman" w:hAnsiTheme="minorHAnsi" w:cs="Calibri"/>
                <w:color w:val="000000"/>
                <w:sz w:val="16"/>
                <w:szCs w:val="16"/>
              </w:rPr>
              <w:t> </w:t>
            </w:r>
          </w:p>
        </w:tc>
        <w:tc>
          <w:tcPr>
            <w:tcW w:w="3681" w:type="dxa"/>
            <w:hideMark/>
          </w:tcPr>
          <w:p w:rsidR="00F7293C" w:rsidRPr="00F7293C" w:rsidRDefault="00F7293C" w:rsidP="00F7293C">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rPr>
            </w:pPr>
            <w:r w:rsidRPr="00F7293C">
              <w:rPr>
                <w:rFonts w:eastAsia="Times New Roman" w:cs="Calibri"/>
                <w:color w:val="000000"/>
                <w:sz w:val="16"/>
                <w:szCs w:val="16"/>
              </w:rPr>
              <w:t>special foods (only for health facilities, police med hospitals, military hospitals)</w:t>
            </w:r>
          </w:p>
        </w:tc>
        <w:tc>
          <w:tcPr>
            <w:tcW w:w="1350" w:type="dxa"/>
            <w:hideMark/>
          </w:tcPr>
          <w:p w:rsidR="00F7293C" w:rsidRPr="00F7293C" w:rsidRDefault="00F7293C" w:rsidP="00F7293C">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rPr>
            </w:pPr>
            <w:r w:rsidRPr="00F7293C">
              <w:rPr>
                <w:rFonts w:eastAsia="Times New Roman" w:cs="Calibri"/>
                <w:color w:val="000000"/>
                <w:sz w:val="16"/>
                <w:szCs w:val="16"/>
              </w:rPr>
              <w:t>2204XX</w:t>
            </w:r>
          </w:p>
        </w:tc>
        <w:tc>
          <w:tcPr>
            <w:tcW w:w="2340" w:type="dxa"/>
            <w:hideMark/>
          </w:tcPr>
          <w:p w:rsidR="00F7293C" w:rsidRPr="00F7293C" w:rsidRDefault="00F7293C" w:rsidP="00F7293C">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rPr>
            </w:pPr>
            <w:r w:rsidRPr="00F7293C">
              <w:rPr>
                <w:rFonts w:eastAsia="Times New Roman" w:cs="Calibri"/>
                <w:color w:val="000000"/>
                <w:sz w:val="16"/>
                <w:szCs w:val="16"/>
              </w:rPr>
              <w:t>Special foods (for police dog and horses)</w:t>
            </w:r>
          </w:p>
        </w:tc>
      </w:tr>
      <w:tr w:rsidR="00F7293C" w:rsidRPr="00F7293C" w:rsidTr="00F7293C">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369" w:type="dxa"/>
            <w:hideMark/>
          </w:tcPr>
          <w:p w:rsidR="00F7293C" w:rsidRPr="00F7293C" w:rsidRDefault="00F7293C" w:rsidP="00F7293C">
            <w:pPr>
              <w:spacing w:after="0" w:line="240" w:lineRule="auto"/>
              <w:rPr>
                <w:rFonts w:asciiTheme="minorHAnsi" w:eastAsia="Times New Roman" w:hAnsiTheme="minorHAnsi" w:cs="Calibri"/>
                <w:color w:val="000000"/>
                <w:sz w:val="16"/>
                <w:szCs w:val="16"/>
              </w:rPr>
            </w:pPr>
            <w:r w:rsidRPr="00F7293C">
              <w:rPr>
                <w:rFonts w:asciiTheme="minorHAnsi" w:eastAsia="Times New Roman" w:hAnsiTheme="minorHAnsi" w:cs="Calibri"/>
                <w:color w:val="000000"/>
                <w:sz w:val="16"/>
                <w:szCs w:val="16"/>
              </w:rPr>
              <w:t> </w:t>
            </w:r>
          </w:p>
        </w:tc>
        <w:tc>
          <w:tcPr>
            <w:tcW w:w="3681" w:type="dxa"/>
            <w:hideMark/>
          </w:tcPr>
          <w:p w:rsidR="00F7293C" w:rsidRPr="00F7293C" w:rsidRDefault="00F7293C" w:rsidP="00F7293C">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Calibri"/>
                <w:color w:val="000000"/>
                <w:sz w:val="16"/>
                <w:szCs w:val="16"/>
              </w:rPr>
            </w:pPr>
            <w:r w:rsidRPr="00F7293C">
              <w:rPr>
                <w:rFonts w:eastAsia="Times New Roman" w:cs="Calibri"/>
                <w:color w:val="000000"/>
                <w:sz w:val="16"/>
                <w:szCs w:val="16"/>
              </w:rPr>
              <w:t> </w:t>
            </w:r>
          </w:p>
        </w:tc>
        <w:tc>
          <w:tcPr>
            <w:tcW w:w="1350" w:type="dxa"/>
            <w:hideMark/>
          </w:tcPr>
          <w:p w:rsidR="00F7293C" w:rsidRPr="00F7293C" w:rsidRDefault="00F7293C" w:rsidP="00F7293C">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Calibri"/>
                <w:color w:val="000000"/>
                <w:sz w:val="16"/>
                <w:szCs w:val="16"/>
              </w:rPr>
            </w:pPr>
            <w:r w:rsidRPr="00F7293C">
              <w:rPr>
                <w:rFonts w:eastAsia="Times New Roman" w:cs="Calibri"/>
                <w:color w:val="000000"/>
                <w:sz w:val="16"/>
                <w:szCs w:val="16"/>
              </w:rPr>
              <w:t> </w:t>
            </w:r>
          </w:p>
        </w:tc>
        <w:tc>
          <w:tcPr>
            <w:tcW w:w="2340" w:type="dxa"/>
            <w:hideMark/>
          </w:tcPr>
          <w:p w:rsidR="00F7293C" w:rsidRPr="00F7293C" w:rsidRDefault="00F7293C" w:rsidP="00F7293C">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Calibri"/>
                <w:color w:val="000000"/>
                <w:sz w:val="16"/>
                <w:szCs w:val="16"/>
              </w:rPr>
            </w:pPr>
            <w:r w:rsidRPr="00F7293C">
              <w:rPr>
                <w:rFonts w:eastAsia="Times New Roman" w:cs="Calibri"/>
                <w:color w:val="000000"/>
                <w:sz w:val="16"/>
                <w:szCs w:val="16"/>
              </w:rPr>
              <w:t>Medical gases and supplies (for Water lab)</w:t>
            </w:r>
          </w:p>
        </w:tc>
      </w:tr>
      <w:tr w:rsidR="00F7293C" w:rsidRPr="00F7293C" w:rsidTr="00F7293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369" w:type="dxa"/>
            <w:hideMark/>
          </w:tcPr>
          <w:p w:rsidR="00F7293C" w:rsidRPr="00F7293C" w:rsidRDefault="00F7293C" w:rsidP="00F7293C">
            <w:pPr>
              <w:spacing w:after="0" w:line="240" w:lineRule="auto"/>
              <w:rPr>
                <w:rFonts w:asciiTheme="minorHAnsi" w:eastAsia="Times New Roman" w:hAnsiTheme="minorHAnsi" w:cs="Calibri"/>
                <w:color w:val="000000"/>
                <w:sz w:val="16"/>
                <w:szCs w:val="16"/>
              </w:rPr>
            </w:pPr>
            <w:r w:rsidRPr="00F7293C">
              <w:rPr>
                <w:rFonts w:asciiTheme="minorHAnsi" w:eastAsia="Times New Roman" w:hAnsiTheme="minorHAnsi" w:cs="Calibri"/>
                <w:color w:val="000000"/>
                <w:sz w:val="16"/>
                <w:szCs w:val="16"/>
              </w:rPr>
              <w:t>VOTES:</w:t>
            </w:r>
          </w:p>
        </w:tc>
        <w:tc>
          <w:tcPr>
            <w:tcW w:w="3681" w:type="dxa"/>
            <w:hideMark/>
          </w:tcPr>
          <w:p w:rsidR="00F7293C" w:rsidRPr="00F7293C" w:rsidRDefault="00F7293C" w:rsidP="00F7293C">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rPr>
            </w:pPr>
            <w:r w:rsidRPr="00F7293C">
              <w:rPr>
                <w:rFonts w:eastAsia="Times New Roman" w:cs="Calibri"/>
                <w:color w:val="000000"/>
                <w:sz w:val="16"/>
                <w:szCs w:val="16"/>
              </w:rPr>
              <w:t> </w:t>
            </w:r>
          </w:p>
        </w:tc>
        <w:tc>
          <w:tcPr>
            <w:tcW w:w="1350" w:type="dxa"/>
            <w:hideMark/>
          </w:tcPr>
          <w:p w:rsidR="00F7293C" w:rsidRPr="00F7293C" w:rsidRDefault="00F7293C" w:rsidP="00F7293C">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rPr>
            </w:pPr>
            <w:r w:rsidRPr="00F7293C">
              <w:rPr>
                <w:rFonts w:eastAsia="Times New Roman" w:cs="Calibri"/>
                <w:color w:val="000000"/>
                <w:sz w:val="16"/>
                <w:szCs w:val="16"/>
              </w:rPr>
              <w:t> </w:t>
            </w:r>
          </w:p>
        </w:tc>
        <w:tc>
          <w:tcPr>
            <w:tcW w:w="2340" w:type="dxa"/>
            <w:hideMark/>
          </w:tcPr>
          <w:p w:rsidR="00F7293C" w:rsidRPr="00F7293C" w:rsidRDefault="00F7293C" w:rsidP="00F7293C">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rPr>
            </w:pPr>
            <w:r w:rsidRPr="00F7293C">
              <w:rPr>
                <w:rFonts w:eastAsia="Times New Roman" w:cs="Calibri"/>
                <w:color w:val="000000"/>
                <w:sz w:val="16"/>
                <w:szCs w:val="16"/>
              </w:rPr>
              <w:t> </w:t>
            </w:r>
          </w:p>
        </w:tc>
      </w:tr>
      <w:tr w:rsidR="00F7293C" w:rsidRPr="00F7293C" w:rsidTr="00F7293C">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369" w:type="dxa"/>
            <w:hideMark/>
          </w:tcPr>
          <w:p w:rsidR="00F7293C" w:rsidRPr="00F7293C" w:rsidRDefault="00F7293C" w:rsidP="00F7293C">
            <w:pPr>
              <w:spacing w:after="0" w:line="240" w:lineRule="auto"/>
              <w:jc w:val="right"/>
              <w:rPr>
                <w:rFonts w:asciiTheme="minorHAnsi" w:eastAsia="Times New Roman" w:hAnsiTheme="minorHAnsi" w:cs="Calibri"/>
                <w:color w:val="000000"/>
                <w:sz w:val="16"/>
                <w:szCs w:val="16"/>
              </w:rPr>
            </w:pPr>
            <w:r w:rsidRPr="00F7293C">
              <w:rPr>
                <w:rFonts w:asciiTheme="minorHAnsi" w:eastAsia="Times New Roman" w:hAnsiTheme="minorHAnsi" w:cs="Calibri"/>
                <w:color w:val="000000"/>
                <w:sz w:val="16"/>
                <w:szCs w:val="16"/>
              </w:rPr>
              <w:t>21</w:t>
            </w:r>
          </w:p>
        </w:tc>
        <w:tc>
          <w:tcPr>
            <w:tcW w:w="3681" w:type="dxa"/>
            <w:hideMark/>
          </w:tcPr>
          <w:p w:rsidR="00F7293C" w:rsidRPr="00F7293C" w:rsidRDefault="00F7293C" w:rsidP="00F7293C">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Calibri"/>
                <w:color w:val="000000"/>
                <w:sz w:val="16"/>
                <w:szCs w:val="16"/>
              </w:rPr>
            </w:pPr>
            <w:r w:rsidRPr="00F7293C">
              <w:rPr>
                <w:rFonts w:eastAsia="Times New Roman" w:cs="Calibri"/>
                <w:color w:val="000000"/>
                <w:sz w:val="16"/>
                <w:szCs w:val="16"/>
              </w:rPr>
              <w:t>Treasury -- GFATM and Drugs portion</w:t>
            </w:r>
          </w:p>
        </w:tc>
        <w:tc>
          <w:tcPr>
            <w:tcW w:w="1350" w:type="dxa"/>
            <w:hideMark/>
          </w:tcPr>
          <w:p w:rsidR="00F7293C" w:rsidRPr="00F7293C" w:rsidRDefault="00F7293C" w:rsidP="00F7293C">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Calibri"/>
                <w:color w:val="000000"/>
                <w:sz w:val="16"/>
                <w:szCs w:val="16"/>
              </w:rPr>
            </w:pPr>
            <w:r w:rsidRPr="00F7293C">
              <w:rPr>
                <w:rFonts w:eastAsia="Times New Roman" w:cs="Calibri"/>
                <w:color w:val="000000"/>
                <w:sz w:val="16"/>
                <w:szCs w:val="16"/>
              </w:rPr>
              <w:t> </w:t>
            </w:r>
          </w:p>
        </w:tc>
        <w:tc>
          <w:tcPr>
            <w:tcW w:w="2340" w:type="dxa"/>
            <w:hideMark/>
          </w:tcPr>
          <w:p w:rsidR="00F7293C" w:rsidRPr="00F7293C" w:rsidRDefault="00F7293C" w:rsidP="00F7293C">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Calibri"/>
                <w:color w:val="000000"/>
                <w:sz w:val="16"/>
                <w:szCs w:val="16"/>
              </w:rPr>
            </w:pPr>
            <w:r w:rsidRPr="00F7293C">
              <w:rPr>
                <w:rFonts w:eastAsia="Times New Roman" w:cs="Calibri"/>
                <w:color w:val="000000"/>
                <w:sz w:val="16"/>
                <w:szCs w:val="16"/>
              </w:rPr>
              <w:t> </w:t>
            </w:r>
          </w:p>
        </w:tc>
      </w:tr>
      <w:tr w:rsidR="00F7293C" w:rsidRPr="00F7293C" w:rsidTr="00F7293C">
        <w:trPr>
          <w:cnfStyle w:val="000000100000" w:firstRow="0" w:lastRow="0" w:firstColumn="0" w:lastColumn="0" w:oddVBand="0" w:evenVBand="0" w:oddHBand="1" w:evenHBand="0" w:firstRowFirstColumn="0" w:firstRowLastColumn="0" w:lastRowFirstColumn="0" w:lastRowLastColumn="0"/>
          <w:trHeight w:val="1110"/>
        </w:trPr>
        <w:tc>
          <w:tcPr>
            <w:cnfStyle w:val="001000000000" w:firstRow="0" w:lastRow="0" w:firstColumn="1" w:lastColumn="0" w:oddVBand="0" w:evenVBand="0" w:oddHBand="0" w:evenHBand="0" w:firstRowFirstColumn="0" w:firstRowLastColumn="0" w:lastRowFirstColumn="0" w:lastRowLastColumn="0"/>
            <w:tcW w:w="1369" w:type="dxa"/>
            <w:hideMark/>
          </w:tcPr>
          <w:p w:rsidR="00F7293C" w:rsidRPr="00F7293C" w:rsidRDefault="00F7293C" w:rsidP="00F7293C">
            <w:pPr>
              <w:spacing w:after="0" w:line="240" w:lineRule="auto"/>
              <w:jc w:val="right"/>
              <w:rPr>
                <w:rFonts w:asciiTheme="minorHAnsi" w:eastAsia="Times New Roman" w:hAnsiTheme="minorHAnsi" w:cs="Calibri"/>
                <w:color w:val="000000"/>
                <w:sz w:val="16"/>
                <w:szCs w:val="16"/>
              </w:rPr>
            </w:pPr>
            <w:r w:rsidRPr="00F7293C">
              <w:rPr>
                <w:rFonts w:asciiTheme="minorHAnsi" w:eastAsia="Times New Roman" w:hAnsiTheme="minorHAnsi" w:cs="Calibri"/>
                <w:color w:val="000000"/>
                <w:sz w:val="16"/>
                <w:szCs w:val="16"/>
              </w:rPr>
              <w:t>22</w:t>
            </w:r>
          </w:p>
        </w:tc>
        <w:tc>
          <w:tcPr>
            <w:tcW w:w="3681" w:type="dxa"/>
            <w:hideMark/>
          </w:tcPr>
          <w:p w:rsidR="00F7293C" w:rsidRPr="00F7293C" w:rsidRDefault="00F7293C" w:rsidP="00F7293C">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rPr>
            </w:pPr>
            <w:r w:rsidRPr="00F7293C">
              <w:rPr>
                <w:rFonts w:eastAsia="Times New Roman" w:cs="Calibri"/>
                <w:color w:val="FF0000"/>
                <w:sz w:val="16"/>
                <w:szCs w:val="16"/>
              </w:rPr>
              <w:t>ONLY</w:t>
            </w:r>
            <w:r w:rsidRPr="00F7293C">
              <w:rPr>
                <w:rFonts w:eastAsia="Times New Roman" w:cs="Calibri"/>
                <w:color w:val="000000"/>
                <w:sz w:val="16"/>
                <w:szCs w:val="16"/>
              </w:rPr>
              <w:t xml:space="preserve"> NHIF portion (</w:t>
            </w:r>
            <w:proofErr w:type="spellStart"/>
            <w:r w:rsidRPr="00F7293C">
              <w:rPr>
                <w:rFonts w:eastAsia="Times New Roman" w:cs="Calibri"/>
                <w:color w:val="000000"/>
                <w:sz w:val="16"/>
                <w:szCs w:val="16"/>
              </w:rPr>
              <w:t>Gov</w:t>
            </w:r>
            <w:proofErr w:type="spellEnd"/>
            <w:r w:rsidRPr="00F7293C">
              <w:rPr>
                <w:rFonts w:eastAsia="Times New Roman" w:cs="Calibri"/>
                <w:color w:val="000000"/>
                <w:sz w:val="16"/>
                <w:szCs w:val="16"/>
              </w:rPr>
              <w:t xml:space="preserve"> contribution)</w:t>
            </w:r>
          </w:p>
        </w:tc>
        <w:tc>
          <w:tcPr>
            <w:tcW w:w="1350" w:type="dxa"/>
            <w:hideMark/>
          </w:tcPr>
          <w:p w:rsidR="00F7293C" w:rsidRPr="00F7293C" w:rsidRDefault="00F7293C" w:rsidP="00F7293C">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rPr>
            </w:pPr>
            <w:r w:rsidRPr="00F7293C">
              <w:rPr>
                <w:rFonts w:eastAsia="Times New Roman" w:cs="Calibri"/>
                <w:color w:val="000000"/>
                <w:sz w:val="16"/>
                <w:szCs w:val="16"/>
              </w:rPr>
              <w:t> </w:t>
            </w:r>
          </w:p>
        </w:tc>
        <w:tc>
          <w:tcPr>
            <w:tcW w:w="2340" w:type="dxa"/>
            <w:hideMark/>
          </w:tcPr>
          <w:p w:rsidR="00F7293C" w:rsidRPr="00F7293C" w:rsidRDefault="00F7293C" w:rsidP="00F7293C">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rPr>
            </w:pPr>
            <w:r w:rsidRPr="00F7293C">
              <w:rPr>
                <w:rFonts w:eastAsia="Times New Roman" w:cs="Calibri"/>
                <w:color w:val="000000"/>
                <w:sz w:val="16"/>
                <w:szCs w:val="16"/>
              </w:rPr>
              <w:t> </w:t>
            </w:r>
          </w:p>
        </w:tc>
      </w:tr>
      <w:tr w:rsidR="00F7293C" w:rsidRPr="00F7293C" w:rsidTr="00F7293C">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369" w:type="dxa"/>
            <w:hideMark/>
          </w:tcPr>
          <w:p w:rsidR="00F7293C" w:rsidRPr="00F7293C" w:rsidRDefault="00F7293C" w:rsidP="00F7293C">
            <w:pPr>
              <w:spacing w:after="0" w:line="240" w:lineRule="auto"/>
              <w:jc w:val="right"/>
              <w:rPr>
                <w:rFonts w:asciiTheme="minorHAnsi" w:eastAsia="Times New Roman" w:hAnsiTheme="minorHAnsi" w:cs="Calibri"/>
                <w:color w:val="000000"/>
                <w:sz w:val="16"/>
                <w:szCs w:val="16"/>
              </w:rPr>
            </w:pPr>
            <w:r w:rsidRPr="00F7293C">
              <w:rPr>
                <w:rFonts w:asciiTheme="minorHAnsi" w:eastAsia="Times New Roman" w:hAnsiTheme="minorHAnsi" w:cs="Calibri"/>
                <w:color w:val="000000"/>
                <w:sz w:val="16"/>
                <w:szCs w:val="16"/>
              </w:rPr>
              <w:t>52</w:t>
            </w:r>
          </w:p>
        </w:tc>
        <w:tc>
          <w:tcPr>
            <w:tcW w:w="3681" w:type="dxa"/>
            <w:hideMark/>
          </w:tcPr>
          <w:p w:rsidR="00F7293C" w:rsidRPr="00F7293C" w:rsidRDefault="00F7293C" w:rsidP="00F7293C">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Calibri"/>
                <w:color w:val="000000"/>
                <w:sz w:val="16"/>
                <w:szCs w:val="16"/>
              </w:rPr>
            </w:pPr>
            <w:r w:rsidRPr="00F7293C">
              <w:rPr>
                <w:rFonts w:eastAsia="Times New Roman" w:cs="Calibri"/>
                <w:color w:val="000000"/>
                <w:sz w:val="16"/>
                <w:szCs w:val="16"/>
              </w:rPr>
              <w:t>MOHSW (minus SW section)</w:t>
            </w:r>
          </w:p>
        </w:tc>
        <w:tc>
          <w:tcPr>
            <w:tcW w:w="1350" w:type="dxa"/>
            <w:hideMark/>
          </w:tcPr>
          <w:p w:rsidR="00F7293C" w:rsidRPr="00F7293C" w:rsidRDefault="00F7293C" w:rsidP="00F7293C">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Calibri"/>
                <w:color w:val="000000"/>
                <w:sz w:val="16"/>
                <w:szCs w:val="16"/>
              </w:rPr>
            </w:pPr>
            <w:r w:rsidRPr="00F7293C">
              <w:rPr>
                <w:rFonts w:eastAsia="Times New Roman" w:cs="Calibri"/>
                <w:color w:val="000000"/>
                <w:sz w:val="16"/>
                <w:szCs w:val="16"/>
              </w:rPr>
              <w:t> </w:t>
            </w:r>
          </w:p>
        </w:tc>
        <w:tc>
          <w:tcPr>
            <w:tcW w:w="2340" w:type="dxa"/>
            <w:hideMark/>
          </w:tcPr>
          <w:p w:rsidR="00F7293C" w:rsidRPr="00F7293C" w:rsidRDefault="00F7293C" w:rsidP="00F7293C">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Calibri"/>
                <w:color w:val="000000"/>
                <w:sz w:val="16"/>
                <w:szCs w:val="16"/>
              </w:rPr>
            </w:pPr>
            <w:r w:rsidRPr="00F7293C">
              <w:rPr>
                <w:rFonts w:eastAsia="Times New Roman" w:cs="Calibri"/>
                <w:color w:val="000000"/>
                <w:sz w:val="16"/>
                <w:szCs w:val="16"/>
              </w:rPr>
              <w:t>Exclude SW</w:t>
            </w:r>
          </w:p>
        </w:tc>
      </w:tr>
      <w:tr w:rsidR="00F7293C" w:rsidRPr="00F7293C" w:rsidTr="00F7293C">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1369" w:type="dxa"/>
            <w:hideMark/>
          </w:tcPr>
          <w:p w:rsidR="00F7293C" w:rsidRPr="00F7293C" w:rsidRDefault="00F7293C" w:rsidP="00F7293C">
            <w:pPr>
              <w:spacing w:after="0" w:line="240" w:lineRule="auto"/>
              <w:jc w:val="right"/>
              <w:rPr>
                <w:rFonts w:asciiTheme="minorHAnsi" w:eastAsia="Times New Roman" w:hAnsiTheme="minorHAnsi" w:cs="Calibri"/>
                <w:color w:val="000000"/>
                <w:sz w:val="16"/>
                <w:szCs w:val="16"/>
              </w:rPr>
            </w:pPr>
            <w:r w:rsidRPr="00F7293C">
              <w:rPr>
                <w:rFonts w:asciiTheme="minorHAnsi" w:eastAsia="Times New Roman" w:hAnsiTheme="minorHAnsi" w:cs="Calibri"/>
                <w:color w:val="000000"/>
                <w:sz w:val="16"/>
                <w:szCs w:val="16"/>
              </w:rPr>
              <w:t>56</w:t>
            </w:r>
          </w:p>
        </w:tc>
        <w:tc>
          <w:tcPr>
            <w:tcW w:w="3681" w:type="dxa"/>
            <w:hideMark/>
          </w:tcPr>
          <w:p w:rsidR="00F7293C" w:rsidRPr="00F7293C" w:rsidRDefault="00F7293C" w:rsidP="00F7293C">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rPr>
            </w:pPr>
            <w:r w:rsidRPr="00F7293C">
              <w:rPr>
                <w:rFonts w:eastAsia="Times New Roman" w:cs="Calibri"/>
                <w:color w:val="000000"/>
                <w:sz w:val="16"/>
                <w:szCs w:val="16"/>
              </w:rPr>
              <w:t>PMORALG Projects (BHSP, Basket)</w:t>
            </w:r>
          </w:p>
        </w:tc>
        <w:tc>
          <w:tcPr>
            <w:tcW w:w="1350" w:type="dxa"/>
            <w:hideMark/>
          </w:tcPr>
          <w:p w:rsidR="00F7293C" w:rsidRPr="00F7293C" w:rsidRDefault="00F7293C" w:rsidP="00F7293C">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rPr>
            </w:pPr>
            <w:r w:rsidRPr="00F7293C">
              <w:rPr>
                <w:rFonts w:eastAsia="Times New Roman" w:cs="Calibri"/>
                <w:color w:val="000000"/>
                <w:sz w:val="16"/>
                <w:szCs w:val="16"/>
              </w:rPr>
              <w:t> </w:t>
            </w:r>
          </w:p>
        </w:tc>
        <w:tc>
          <w:tcPr>
            <w:tcW w:w="2340" w:type="dxa"/>
            <w:hideMark/>
          </w:tcPr>
          <w:p w:rsidR="00F7293C" w:rsidRPr="00F7293C" w:rsidRDefault="00F7293C" w:rsidP="00F7293C">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rPr>
            </w:pPr>
            <w:r w:rsidRPr="00F7293C">
              <w:rPr>
                <w:rFonts w:eastAsia="Times New Roman" w:cs="Calibri"/>
                <w:color w:val="000000"/>
                <w:sz w:val="16"/>
                <w:szCs w:val="16"/>
              </w:rPr>
              <w:t>Exclude central level salaries at PMO-RALG for health staff (not sig. amount)</w:t>
            </w:r>
          </w:p>
        </w:tc>
      </w:tr>
      <w:tr w:rsidR="00F7293C" w:rsidRPr="00F7293C" w:rsidTr="00F7293C">
        <w:trPr>
          <w:cnfStyle w:val="000000010000" w:firstRow="0" w:lastRow="0" w:firstColumn="0" w:lastColumn="0" w:oddVBand="0" w:evenVBand="0" w:oddHBand="0" w:evenHBand="1"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1369" w:type="dxa"/>
            <w:hideMark/>
          </w:tcPr>
          <w:p w:rsidR="00F7293C" w:rsidRPr="00F7293C" w:rsidRDefault="00F7293C" w:rsidP="00F7293C">
            <w:pPr>
              <w:spacing w:after="0" w:line="240" w:lineRule="auto"/>
              <w:jc w:val="right"/>
              <w:rPr>
                <w:rFonts w:asciiTheme="minorHAnsi" w:eastAsia="Times New Roman" w:hAnsiTheme="minorHAnsi" w:cs="Calibri"/>
                <w:color w:val="000000"/>
                <w:sz w:val="16"/>
                <w:szCs w:val="16"/>
              </w:rPr>
            </w:pPr>
            <w:r w:rsidRPr="00F7293C">
              <w:rPr>
                <w:rFonts w:asciiTheme="minorHAnsi" w:eastAsia="Times New Roman" w:hAnsiTheme="minorHAnsi" w:cs="Calibri"/>
                <w:color w:val="000000"/>
                <w:sz w:val="16"/>
                <w:szCs w:val="16"/>
              </w:rPr>
              <w:lastRenderedPageBreak/>
              <w:t>92</w:t>
            </w:r>
          </w:p>
        </w:tc>
        <w:tc>
          <w:tcPr>
            <w:tcW w:w="3681" w:type="dxa"/>
            <w:hideMark/>
          </w:tcPr>
          <w:p w:rsidR="00F7293C" w:rsidRPr="00F7293C" w:rsidRDefault="00F7293C" w:rsidP="00F7293C">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Calibri"/>
                <w:color w:val="000000"/>
                <w:sz w:val="16"/>
                <w:szCs w:val="16"/>
              </w:rPr>
            </w:pPr>
            <w:r w:rsidRPr="00F7293C">
              <w:rPr>
                <w:rFonts w:eastAsia="Times New Roman" w:cs="Calibri"/>
                <w:color w:val="000000"/>
                <w:sz w:val="16"/>
                <w:szCs w:val="16"/>
              </w:rPr>
              <w:t xml:space="preserve">TACAIDS INCLUDE ALL but  highlight this amount separately in the analysis </w:t>
            </w:r>
          </w:p>
        </w:tc>
        <w:tc>
          <w:tcPr>
            <w:tcW w:w="1350" w:type="dxa"/>
            <w:hideMark/>
          </w:tcPr>
          <w:p w:rsidR="00F7293C" w:rsidRPr="00F7293C" w:rsidRDefault="00F7293C" w:rsidP="00F7293C">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Calibri"/>
                <w:color w:val="000000"/>
                <w:sz w:val="16"/>
                <w:szCs w:val="16"/>
              </w:rPr>
            </w:pPr>
            <w:r w:rsidRPr="00F7293C">
              <w:rPr>
                <w:rFonts w:eastAsia="Times New Roman" w:cs="Calibri"/>
                <w:color w:val="000000"/>
                <w:sz w:val="16"/>
                <w:szCs w:val="16"/>
              </w:rPr>
              <w:t> </w:t>
            </w:r>
          </w:p>
        </w:tc>
        <w:tc>
          <w:tcPr>
            <w:tcW w:w="2340" w:type="dxa"/>
            <w:hideMark/>
          </w:tcPr>
          <w:p w:rsidR="00F7293C" w:rsidRPr="00F7293C" w:rsidRDefault="00F7293C" w:rsidP="00F7293C">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Calibri"/>
                <w:color w:val="000000"/>
                <w:sz w:val="16"/>
                <w:szCs w:val="16"/>
              </w:rPr>
            </w:pPr>
            <w:r w:rsidRPr="00F7293C">
              <w:rPr>
                <w:rFonts w:eastAsia="Times New Roman" w:cs="Calibri"/>
                <w:color w:val="000000"/>
                <w:sz w:val="16"/>
                <w:szCs w:val="16"/>
              </w:rPr>
              <w:t> </w:t>
            </w:r>
          </w:p>
        </w:tc>
      </w:tr>
      <w:tr w:rsidR="00F7293C" w:rsidRPr="00F7293C" w:rsidTr="00F7293C">
        <w:trPr>
          <w:cnfStyle w:val="000000100000" w:firstRow="0" w:lastRow="0" w:firstColumn="0" w:lastColumn="0" w:oddVBand="0" w:evenVBand="0" w:oddHBand="1"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1369" w:type="dxa"/>
            <w:hideMark/>
          </w:tcPr>
          <w:p w:rsidR="00F7293C" w:rsidRPr="00F7293C" w:rsidRDefault="00F7293C" w:rsidP="00F7293C">
            <w:pPr>
              <w:spacing w:after="0" w:line="240" w:lineRule="auto"/>
              <w:rPr>
                <w:rFonts w:asciiTheme="minorHAnsi" w:eastAsia="Times New Roman" w:hAnsiTheme="minorHAnsi" w:cs="Calibri"/>
                <w:color w:val="000000"/>
                <w:sz w:val="16"/>
                <w:szCs w:val="16"/>
              </w:rPr>
            </w:pPr>
            <w:r w:rsidRPr="00F7293C">
              <w:rPr>
                <w:rFonts w:asciiTheme="minorHAnsi" w:eastAsia="Times New Roman" w:hAnsiTheme="minorHAnsi" w:cs="Calibri"/>
                <w:color w:val="000000"/>
                <w:sz w:val="16"/>
                <w:szCs w:val="16"/>
              </w:rPr>
              <w:t>70-89, 95, 36,47,54,63</w:t>
            </w:r>
          </w:p>
        </w:tc>
        <w:tc>
          <w:tcPr>
            <w:tcW w:w="3681" w:type="dxa"/>
            <w:hideMark/>
          </w:tcPr>
          <w:p w:rsidR="00F7293C" w:rsidRPr="00F7293C" w:rsidRDefault="00F7293C" w:rsidP="00F7293C">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rPr>
            </w:pPr>
            <w:r w:rsidRPr="00F7293C">
              <w:rPr>
                <w:rFonts w:eastAsia="Times New Roman" w:cs="Calibri"/>
                <w:color w:val="000000"/>
                <w:sz w:val="16"/>
                <w:szCs w:val="16"/>
              </w:rPr>
              <w:t>REGIONS: Look at 3001/2 (hospitals, preventive health), 2004 (health transfer), 2003 (</w:t>
            </w:r>
            <w:proofErr w:type="spellStart"/>
            <w:r w:rsidRPr="00F7293C">
              <w:rPr>
                <w:rFonts w:eastAsia="Times New Roman" w:cs="Calibri"/>
                <w:color w:val="000000"/>
                <w:sz w:val="16"/>
                <w:szCs w:val="16"/>
              </w:rPr>
              <w:t>infrastruct</w:t>
            </w:r>
            <w:proofErr w:type="spellEnd"/>
            <w:r w:rsidRPr="00F7293C">
              <w:rPr>
                <w:rFonts w:eastAsia="Times New Roman" w:cs="Calibri"/>
                <w:color w:val="000000"/>
                <w:sz w:val="16"/>
                <w:szCs w:val="16"/>
              </w:rPr>
              <w:t xml:space="preserve"> project)</w:t>
            </w:r>
          </w:p>
        </w:tc>
        <w:tc>
          <w:tcPr>
            <w:tcW w:w="1350" w:type="dxa"/>
            <w:hideMark/>
          </w:tcPr>
          <w:p w:rsidR="00F7293C" w:rsidRPr="00F7293C" w:rsidRDefault="00F7293C" w:rsidP="00F7293C">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rPr>
            </w:pPr>
            <w:r w:rsidRPr="00F7293C">
              <w:rPr>
                <w:rFonts w:eastAsia="Times New Roman" w:cs="Calibri"/>
                <w:color w:val="000000"/>
                <w:sz w:val="16"/>
                <w:szCs w:val="16"/>
              </w:rPr>
              <w:t> </w:t>
            </w:r>
          </w:p>
        </w:tc>
        <w:tc>
          <w:tcPr>
            <w:tcW w:w="2340" w:type="dxa"/>
            <w:hideMark/>
          </w:tcPr>
          <w:p w:rsidR="00F7293C" w:rsidRPr="00F7293C" w:rsidRDefault="00F7293C" w:rsidP="00F7293C">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rPr>
            </w:pPr>
            <w:r w:rsidRPr="00F7293C">
              <w:rPr>
                <w:rFonts w:eastAsia="Times New Roman" w:cs="Calibri"/>
                <w:color w:val="000000"/>
                <w:sz w:val="16"/>
                <w:szCs w:val="16"/>
              </w:rPr>
              <w:t> </w:t>
            </w:r>
          </w:p>
        </w:tc>
      </w:tr>
      <w:tr w:rsidR="00F7293C" w:rsidRPr="00F7293C" w:rsidTr="00F7293C">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369" w:type="dxa"/>
            <w:hideMark/>
          </w:tcPr>
          <w:p w:rsidR="00F7293C" w:rsidRPr="00F7293C" w:rsidRDefault="00F7293C" w:rsidP="00F7293C">
            <w:pPr>
              <w:spacing w:after="0" w:line="240" w:lineRule="auto"/>
              <w:rPr>
                <w:rFonts w:asciiTheme="minorHAnsi" w:eastAsia="Times New Roman" w:hAnsiTheme="minorHAnsi" w:cs="Calibri"/>
                <w:color w:val="000000"/>
                <w:sz w:val="16"/>
                <w:szCs w:val="16"/>
              </w:rPr>
            </w:pPr>
            <w:r w:rsidRPr="00F7293C">
              <w:rPr>
                <w:rFonts w:asciiTheme="minorHAnsi" w:eastAsia="Times New Roman" w:hAnsiTheme="minorHAnsi" w:cs="Calibri"/>
                <w:color w:val="000000"/>
                <w:sz w:val="16"/>
                <w:szCs w:val="16"/>
              </w:rPr>
              <w:t xml:space="preserve">PROJECT NUMBER: </w:t>
            </w:r>
          </w:p>
        </w:tc>
        <w:tc>
          <w:tcPr>
            <w:tcW w:w="3681" w:type="dxa"/>
            <w:hideMark/>
          </w:tcPr>
          <w:p w:rsidR="00F7293C" w:rsidRPr="00F7293C" w:rsidRDefault="00F7293C" w:rsidP="00F7293C">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Calibri"/>
                <w:color w:val="000000"/>
                <w:sz w:val="16"/>
                <w:szCs w:val="16"/>
              </w:rPr>
            </w:pPr>
            <w:r w:rsidRPr="00F7293C">
              <w:rPr>
                <w:rFonts w:eastAsia="Times New Roman" w:cs="Calibri"/>
                <w:color w:val="000000"/>
                <w:sz w:val="16"/>
                <w:szCs w:val="16"/>
              </w:rPr>
              <w:t> </w:t>
            </w:r>
          </w:p>
        </w:tc>
        <w:tc>
          <w:tcPr>
            <w:tcW w:w="1350" w:type="dxa"/>
            <w:hideMark/>
          </w:tcPr>
          <w:p w:rsidR="00F7293C" w:rsidRPr="00F7293C" w:rsidRDefault="00F7293C" w:rsidP="00F7293C">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Calibri"/>
                <w:color w:val="000000"/>
                <w:sz w:val="16"/>
                <w:szCs w:val="16"/>
              </w:rPr>
            </w:pPr>
            <w:r w:rsidRPr="00F7293C">
              <w:rPr>
                <w:rFonts w:eastAsia="Times New Roman" w:cs="Calibri"/>
                <w:color w:val="000000"/>
                <w:sz w:val="16"/>
                <w:szCs w:val="16"/>
              </w:rPr>
              <w:t> </w:t>
            </w:r>
          </w:p>
        </w:tc>
        <w:tc>
          <w:tcPr>
            <w:tcW w:w="2340" w:type="dxa"/>
            <w:hideMark/>
          </w:tcPr>
          <w:p w:rsidR="00F7293C" w:rsidRPr="00F7293C" w:rsidRDefault="00F7293C" w:rsidP="00F7293C">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Calibri"/>
                <w:color w:val="000000"/>
                <w:sz w:val="16"/>
                <w:szCs w:val="16"/>
              </w:rPr>
            </w:pPr>
            <w:r w:rsidRPr="00F7293C">
              <w:rPr>
                <w:rFonts w:eastAsia="Times New Roman" w:cs="Calibri"/>
                <w:color w:val="000000"/>
                <w:sz w:val="16"/>
                <w:szCs w:val="16"/>
              </w:rPr>
              <w:t> </w:t>
            </w:r>
          </w:p>
        </w:tc>
      </w:tr>
      <w:tr w:rsidR="00F7293C" w:rsidRPr="00F7293C" w:rsidTr="00F7293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369" w:type="dxa"/>
            <w:hideMark/>
          </w:tcPr>
          <w:p w:rsidR="00F7293C" w:rsidRPr="00F7293C" w:rsidRDefault="00F7293C" w:rsidP="00F7293C">
            <w:pPr>
              <w:spacing w:after="0" w:line="240" w:lineRule="auto"/>
              <w:rPr>
                <w:rFonts w:asciiTheme="minorHAnsi" w:eastAsia="Times New Roman" w:hAnsiTheme="minorHAnsi" w:cs="Calibri"/>
                <w:color w:val="000000"/>
                <w:sz w:val="16"/>
                <w:szCs w:val="16"/>
              </w:rPr>
            </w:pPr>
            <w:r w:rsidRPr="00F7293C">
              <w:rPr>
                <w:rFonts w:asciiTheme="minorHAnsi" w:eastAsia="Times New Roman" w:hAnsiTheme="minorHAnsi" w:cs="Calibri"/>
                <w:color w:val="000000"/>
                <w:sz w:val="16"/>
                <w:szCs w:val="16"/>
              </w:rPr>
              <w:t xml:space="preserve">Vote 21: </w:t>
            </w:r>
            <w:proofErr w:type="spellStart"/>
            <w:r w:rsidRPr="00F7293C">
              <w:rPr>
                <w:rFonts w:asciiTheme="minorHAnsi" w:eastAsia="Times New Roman" w:hAnsiTheme="minorHAnsi" w:cs="Calibri"/>
                <w:color w:val="000000"/>
                <w:sz w:val="16"/>
                <w:szCs w:val="16"/>
              </w:rPr>
              <w:t>Proj</w:t>
            </w:r>
            <w:proofErr w:type="spellEnd"/>
            <w:r w:rsidRPr="00F7293C">
              <w:rPr>
                <w:rFonts w:asciiTheme="minorHAnsi" w:eastAsia="Times New Roman" w:hAnsiTheme="minorHAnsi" w:cs="Calibri"/>
                <w:color w:val="000000"/>
                <w:sz w:val="16"/>
                <w:szCs w:val="16"/>
              </w:rPr>
              <w:t xml:space="preserve"> # 5491</w:t>
            </w:r>
          </w:p>
        </w:tc>
        <w:tc>
          <w:tcPr>
            <w:tcW w:w="3681" w:type="dxa"/>
            <w:hideMark/>
          </w:tcPr>
          <w:p w:rsidR="00F7293C" w:rsidRPr="00F7293C" w:rsidRDefault="00F7293C" w:rsidP="00F7293C">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rPr>
            </w:pPr>
            <w:r w:rsidRPr="00F7293C">
              <w:rPr>
                <w:rFonts w:eastAsia="Times New Roman" w:cs="Calibri"/>
                <w:color w:val="000000"/>
                <w:sz w:val="16"/>
                <w:szCs w:val="16"/>
              </w:rPr>
              <w:t>GF PMU</w:t>
            </w:r>
          </w:p>
        </w:tc>
        <w:tc>
          <w:tcPr>
            <w:tcW w:w="1350" w:type="dxa"/>
            <w:hideMark/>
          </w:tcPr>
          <w:p w:rsidR="00F7293C" w:rsidRPr="00F7293C" w:rsidRDefault="00F7293C" w:rsidP="00F7293C">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rPr>
            </w:pPr>
            <w:r w:rsidRPr="00F7293C">
              <w:rPr>
                <w:rFonts w:eastAsia="Times New Roman" w:cs="Calibri"/>
                <w:color w:val="000000"/>
                <w:sz w:val="16"/>
                <w:szCs w:val="16"/>
              </w:rPr>
              <w:t> </w:t>
            </w:r>
          </w:p>
        </w:tc>
        <w:tc>
          <w:tcPr>
            <w:tcW w:w="2340" w:type="dxa"/>
            <w:hideMark/>
          </w:tcPr>
          <w:p w:rsidR="00F7293C" w:rsidRPr="00F7293C" w:rsidRDefault="00F7293C" w:rsidP="00F7293C">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rPr>
            </w:pPr>
            <w:r w:rsidRPr="00F7293C">
              <w:rPr>
                <w:rFonts w:eastAsia="Times New Roman" w:cs="Calibri"/>
                <w:color w:val="000000"/>
                <w:sz w:val="16"/>
                <w:szCs w:val="16"/>
              </w:rPr>
              <w:t> </w:t>
            </w:r>
          </w:p>
        </w:tc>
      </w:tr>
      <w:tr w:rsidR="00F7293C" w:rsidRPr="00F7293C" w:rsidTr="00F7293C">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369" w:type="dxa"/>
            <w:hideMark/>
          </w:tcPr>
          <w:p w:rsidR="00F7293C" w:rsidRPr="00F7293C" w:rsidRDefault="00F7293C" w:rsidP="00F7293C">
            <w:pPr>
              <w:spacing w:after="0" w:line="240" w:lineRule="auto"/>
              <w:rPr>
                <w:rFonts w:asciiTheme="minorHAnsi" w:eastAsia="Times New Roman" w:hAnsiTheme="minorHAnsi" w:cs="Calibri"/>
                <w:color w:val="000000"/>
                <w:sz w:val="16"/>
                <w:szCs w:val="16"/>
              </w:rPr>
            </w:pPr>
            <w:r w:rsidRPr="00F7293C">
              <w:rPr>
                <w:rFonts w:asciiTheme="minorHAnsi" w:eastAsia="Times New Roman" w:hAnsiTheme="minorHAnsi" w:cs="Calibri"/>
                <w:color w:val="000000"/>
                <w:sz w:val="16"/>
                <w:szCs w:val="16"/>
              </w:rPr>
              <w:t xml:space="preserve">Vote 56: </w:t>
            </w:r>
            <w:proofErr w:type="spellStart"/>
            <w:r w:rsidRPr="00F7293C">
              <w:rPr>
                <w:rFonts w:asciiTheme="minorHAnsi" w:eastAsia="Times New Roman" w:hAnsiTheme="minorHAnsi" w:cs="Calibri"/>
                <w:color w:val="000000"/>
                <w:sz w:val="16"/>
                <w:szCs w:val="16"/>
              </w:rPr>
              <w:t>Proj</w:t>
            </w:r>
            <w:proofErr w:type="spellEnd"/>
            <w:r w:rsidRPr="00F7293C">
              <w:rPr>
                <w:rFonts w:asciiTheme="minorHAnsi" w:eastAsia="Times New Roman" w:hAnsiTheme="minorHAnsi" w:cs="Calibri"/>
                <w:color w:val="000000"/>
                <w:sz w:val="16"/>
                <w:szCs w:val="16"/>
              </w:rPr>
              <w:t xml:space="preserve"> # 5420</w:t>
            </w:r>
          </w:p>
        </w:tc>
        <w:tc>
          <w:tcPr>
            <w:tcW w:w="3681" w:type="dxa"/>
            <w:hideMark/>
          </w:tcPr>
          <w:p w:rsidR="00F7293C" w:rsidRPr="00F7293C" w:rsidRDefault="00F7293C" w:rsidP="00F7293C">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Calibri"/>
                <w:color w:val="000000"/>
                <w:sz w:val="16"/>
                <w:szCs w:val="16"/>
              </w:rPr>
            </w:pPr>
            <w:r w:rsidRPr="00F7293C">
              <w:rPr>
                <w:rFonts w:eastAsia="Times New Roman" w:cs="Calibri"/>
                <w:color w:val="000000"/>
                <w:sz w:val="16"/>
                <w:szCs w:val="16"/>
              </w:rPr>
              <w:t>BHSP</w:t>
            </w:r>
          </w:p>
        </w:tc>
        <w:tc>
          <w:tcPr>
            <w:tcW w:w="1350" w:type="dxa"/>
            <w:hideMark/>
          </w:tcPr>
          <w:p w:rsidR="00F7293C" w:rsidRPr="00F7293C" w:rsidRDefault="00F7293C" w:rsidP="00F7293C">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Calibri"/>
                <w:color w:val="000000"/>
                <w:sz w:val="16"/>
                <w:szCs w:val="16"/>
              </w:rPr>
            </w:pPr>
            <w:r w:rsidRPr="00F7293C">
              <w:rPr>
                <w:rFonts w:eastAsia="Times New Roman" w:cs="Calibri"/>
                <w:color w:val="000000"/>
                <w:sz w:val="16"/>
                <w:szCs w:val="16"/>
              </w:rPr>
              <w:t> </w:t>
            </w:r>
          </w:p>
        </w:tc>
        <w:tc>
          <w:tcPr>
            <w:tcW w:w="2340" w:type="dxa"/>
            <w:hideMark/>
          </w:tcPr>
          <w:p w:rsidR="00F7293C" w:rsidRPr="00F7293C" w:rsidRDefault="00F7293C" w:rsidP="00F7293C">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Calibri"/>
                <w:color w:val="000000"/>
                <w:sz w:val="16"/>
                <w:szCs w:val="16"/>
              </w:rPr>
            </w:pPr>
            <w:r w:rsidRPr="00F7293C">
              <w:rPr>
                <w:rFonts w:eastAsia="Times New Roman" w:cs="Calibri"/>
                <w:color w:val="000000"/>
                <w:sz w:val="16"/>
                <w:szCs w:val="16"/>
              </w:rPr>
              <w:t> </w:t>
            </w:r>
          </w:p>
        </w:tc>
      </w:tr>
      <w:tr w:rsidR="00F7293C" w:rsidRPr="00F7293C" w:rsidTr="00F7293C">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1369" w:type="dxa"/>
            <w:hideMark/>
          </w:tcPr>
          <w:p w:rsidR="00F7293C" w:rsidRPr="00F7293C" w:rsidRDefault="00F7293C" w:rsidP="00F7293C">
            <w:pPr>
              <w:spacing w:after="0" w:line="240" w:lineRule="auto"/>
              <w:rPr>
                <w:rFonts w:asciiTheme="minorHAnsi" w:eastAsia="Times New Roman" w:hAnsiTheme="minorHAnsi" w:cs="Calibri"/>
                <w:color w:val="000000"/>
                <w:sz w:val="16"/>
                <w:szCs w:val="16"/>
              </w:rPr>
            </w:pPr>
            <w:r w:rsidRPr="00F7293C">
              <w:rPr>
                <w:rFonts w:asciiTheme="minorHAnsi" w:eastAsia="Times New Roman" w:hAnsiTheme="minorHAnsi" w:cs="Calibri"/>
                <w:color w:val="000000"/>
                <w:sz w:val="16"/>
                <w:szCs w:val="16"/>
              </w:rPr>
              <w:t xml:space="preserve">Vote 56: </w:t>
            </w:r>
            <w:proofErr w:type="spellStart"/>
            <w:r w:rsidRPr="00F7293C">
              <w:rPr>
                <w:rFonts w:asciiTheme="minorHAnsi" w:eastAsia="Times New Roman" w:hAnsiTheme="minorHAnsi" w:cs="Calibri"/>
                <w:color w:val="000000"/>
                <w:sz w:val="16"/>
                <w:szCs w:val="16"/>
              </w:rPr>
              <w:t>Proj</w:t>
            </w:r>
            <w:proofErr w:type="spellEnd"/>
            <w:r w:rsidRPr="00F7293C">
              <w:rPr>
                <w:rFonts w:asciiTheme="minorHAnsi" w:eastAsia="Times New Roman" w:hAnsiTheme="minorHAnsi" w:cs="Calibri"/>
                <w:color w:val="000000"/>
                <w:sz w:val="16"/>
                <w:szCs w:val="16"/>
              </w:rPr>
              <w:t xml:space="preserve"> # 5421</w:t>
            </w:r>
          </w:p>
        </w:tc>
        <w:tc>
          <w:tcPr>
            <w:tcW w:w="3681" w:type="dxa"/>
            <w:hideMark/>
          </w:tcPr>
          <w:p w:rsidR="00F7293C" w:rsidRPr="00F7293C" w:rsidRDefault="00F7293C" w:rsidP="00F7293C">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rPr>
            </w:pPr>
            <w:r w:rsidRPr="00F7293C">
              <w:rPr>
                <w:rFonts w:eastAsia="Times New Roman" w:cs="Calibri"/>
                <w:color w:val="000000"/>
                <w:sz w:val="16"/>
                <w:szCs w:val="16"/>
              </w:rPr>
              <w:t>Basket</w:t>
            </w:r>
          </w:p>
        </w:tc>
        <w:tc>
          <w:tcPr>
            <w:tcW w:w="1350" w:type="dxa"/>
            <w:hideMark/>
          </w:tcPr>
          <w:p w:rsidR="00F7293C" w:rsidRPr="00F7293C" w:rsidRDefault="00F7293C" w:rsidP="00F7293C">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rPr>
            </w:pPr>
            <w:r w:rsidRPr="00F7293C">
              <w:rPr>
                <w:rFonts w:eastAsia="Times New Roman" w:cs="Calibri"/>
                <w:color w:val="000000"/>
                <w:sz w:val="16"/>
                <w:szCs w:val="16"/>
              </w:rPr>
              <w:t> </w:t>
            </w:r>
          </w:p>
        </w:tc>
        <w:tc>
          <w:tcPr>
            <w:tcW w:w="2340" w:type="dxa"/>
            <w:hideMark/>
          </w:tcPr>
          <w:p w:rsidR="00F7293C" w:rsidRPr="00F7293C" w:rsidRDefault="00F7293C" w:rsidP="00F7293C">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rPr>
            </w:pPr>
            <w:r w:rsidRPr="00F7293C">
              <w:rPr>
                <w:rFonts w:eastAsia="Times New Roman" w:cs="Calibri"/>
                <w:color w:val="000000"/>
                <w:sz w:val="16"/>
                <w:szCs w:val="16"/>
              </w:rPr>
              <w:t> </w:t>
            </w:r>
          </w:p>
        </w:tc>
      </w:tr>
      <w:tr w:rsidR="00F7293C" w:rsidRPr="00F7293C" w:rsidTr="00F7293C">
        <w:trPr>
          <w:cnfStyle w:val="000000010000" w:firstRow="0" w:lastRow="0" w:firstColumn="0" w:lastColumn="0" w:oddVBand="0" w:evenVBand="0" w:oddHBand="0" w:evenHBand="1"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1369" w:type="dxa"/>
            <w:hideMark/>
          </w:tcPr>
          <w:p w:rsidR="00F7293C" w:rsidRPr="00F7293C" w:rsidRDefault="00F7293C" w:rsidP="00F7293C">
            <w:pPr>
              <w:spacing w:after="0" w:line="240" w:lineRule="auto"/>
              <w:rPr>
                <w:rFonts w:asciiTheme="minorHAnsi" w:eastAsia="Times New Roman" w:hAnsiTheme="minorHAnsi" w:cs="Calibri"/>
                <w:color w:val="000000"/>
                <w:sz w:val="16"/>
                <w:szCs w:val="16"/>
              </w:rPr>
            </w:pPr>
            <w:r w:rsidRPr="00F7293C">
              <w:rPr>
                <w:rFonts w:asciiTheme="minorHAnsi" w:eastAsia="Times New Roman" w:hAnsiTheme="minorHAnsi" w:cs="Calibri"/>
                <w:color w:val="000000"/>
                <w:sz w:val="16"/>
                <w:szCs w:val="16"/>
              </w:rPr>
              <w:t xml:space="preserve">Vote 56: </w:t>
            </w:r>
            <w:proofErr w:type="spellStart"/>
            <w:r w:rsidRPr="00F7293C">
              <w:rPr>
                <w:rFonts w:asciiTheme="minorHAnsi" w:eastAsia="Times New Roman" w:hAnsiTheme="minorHAnsi" w:cs="Calibri"/>
                <w:color w:val="000000"/>
                <w:sz w:val="16"/>
                <w:szCs w:val="16"/>
              </w:rPr>
              <w:t>Proj</w:t>
            </w:r>
            <w:proofErr w:type="spellEnd"/>
            <w:r w:rsidRPr="00F7293C">
              <w:rPr>
                <w:rFonts w:asciiTheme="minorHAnsi" w:eastAsia="Times New Roman" w:hAnsiTheme="minorHAnsi" w:cs="Calibri"/>
                <w:color w:val="000000"/>
                <w:sz w:val="16"/>
                <w:szCs w:val="16"/>
              </w:rPr>
              <w:t xml:space="preserve"> # 5493</w:t>
            </w:r>
          </w:p>
        </w:tc>
        <w:tc>
          <w:tcPr>
            <w:tcW w:w="3681" w:type="dxa"/>
            <w:hideMark/>
          </w:tcPr>
          <w:p w:rsidR="00F7293C" w:rsidRPr="00F7293C" w:rsidRDefault="00F7293C" w:rsidP="00F7293C">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Calibri"/>
                <w:color w:val="000000"/>
                <w:sz w:val="16"/>
                <w:szCs w:val="16"/>
              </w:rPr>
            </w:pPr>
            <w:r w:rsidRPr="00F7293C">
              <w:rPr>
                <w:rFonts w:eastAsia="Times New Roman" w:cs="Calibri"/>
                <w:color w:val="000000"/>
                <w:sz w:val="16"/>
                <w:szCs w:val="16"/>
              </w:rPr>
              <w:t xml:space="preserve">HIV/AIDS </w:t>
            </w:r>
            <w:proofErr w:type="spellStart"/>
            <w:r w:rsidRPr="00F7293C">
              <w:rPr>
                <w:rFonts w:eastAsia="Times New Roman" w:cs="Calibri"/>
                <w:color w:val="000000"/>
                <w:sz w:val="16"/>
                <w:szCs w:val="16"/>
              </w:rPr>
              <w:t>prev</w:t>
            </w:r>
            <w:proofErr w:type="spellEnd"/>
          </w:p>
        </w:tc>
        <w:tc>
          <w:tcPr>
            <w:tcW w:w="1350" w:type="dxa"/>
            <w:hideMark/>
          </w:tcPr>
          <w:p w:rsidR="00F7293C" w:rsidRPr="00F7293C" w:rsidRDefault="00F7293C" w:rsidP="00F7293C">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Calibri"/>
                <w:color w:val="000000"/>
                <w:sz w:val="16"/>
                <w:szCs w:val="16"/>
              </w:rPr>
            </w:pPr>
            <w:r w:rsidRPr="00F7293C">
              <w:rPr>
                <w:rFonts w:eastAsia="Times New Roman" w:cs="Calibri"/>
                <w:color w:val="000000"/>
                <w:sz w:val="16"/>
                <w:szCs w:val="16"/>
              </w:rPr>
              <w:t> </w:t>
            </w:r>
          </w:p>
        </w:tc>
        <w:tc>
          <w:tcPr>
            <w:tcW w:w="2340" w:type="dxa"/>
            <w:hideMark/>
          </w:tcPr>
          <w:p w:rsidR="00F7293C" w:rsidRPr="00F7293C" w:rsidRDefault="00F7293C" w:rsidP="00F7293C">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Calibri"/>
                <w:color w:val="000000"/>
                <w:sz w:val="16"/>
                <w:szCs w:val="16"/>
              </w:rPr>
            </w:pPr>
            <w:r w:rsidRPr="00F7293C">
              <w:rPr>
                <w:rFonts w:eastAsia="Times New Roman" w:cs="Calibri"/>
                <w:color w:val="000000"/>
                <w:sz w:val="16"/>
                <w:szCs w:val="16"/>
              </w:rPr>
              <w:t> </w:t>
            </w:r>
          </w:p>
        </w:tc>
      </w:tr>
      <w:tr w:rsidR="00F7293C" w:rsidRPr="00F7293C" w:rsidTr="00F7293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369" w:type="dxa"/>
            <w:hideMark/>
          </w:tcPr>
          <w:p w:rsidR="00F7293C" w:rsidRPr="00F7293C" w:rsidRDefault="00F7293C" w:rsidP="00F7293C">
            <w:pPr>
              <w:spacing w:after="0" w:line="240" w:lineRule="auto"/>
              <w:rPr>
                <w:rFonts w:asciiTheme="minorHAnsi" w:eastAsia="Times New Roman" w:hAnsiTheme="minorHAnsi" w:cs="Calibri"/>
                <w:color w:val="000000"/>
                <w:sz w:val="16"/>
                <w:szCs w:val="16"/>
              </w:rPr>
            </w:pPr>
            <w:r w:rsidRPr="00F7293C">
              <w:rPr>
                <w:rFonts w:asciiTheme="minorHAnsi" w:eastAsia="Times New Roman" w:hAnsiTheme="minorHAnsi" w:cs="Calibri"/>
                <w:color w:val="000000"/>
                <w:sz w:val="16"/>
                <w:szCs w:val="16"/>
              </w:rPr>
              <w:t xml:space="preserve">Vote 56: </w:t>
            </w:r>
            <w:proofErr w:type="spellStart"/>
            <w:r w:rsidRPr="00F7293C">
              <w:rPr>
                <w:rFonts w:asciiTheme="minorHAnsi" w:eastAsia="Times New Roman" w:hAnsiTheme="minorHAnsi" w:cs="Calibri"/>
                <w:color w:val="000000"/>
                <w:sz w:val="16"/>
                <w:szCs w:val="16"/>
              </w:rPr>
              <w:t>Proj</w:t>
            </w:r>
            <w:proofErr w:type="spellEnd"/>
            <w:r w:rsidRPr="00F7293C">
              <w:rPr>
                <w:rFonts w:asciiTheme="minorHAnsi" w:eastAsia="Times New Roman" w:hAnsiTheme="minorHAnsi" w:cs="Calibri"/>
                <w:color w:val="000000"/>
                <w:sz w:val="16"/>
                <w:szCs w:val="16"/>
              </w:rPr>
              <w:t xml:space="preserve"> #5495</w:t>
            </w:r>
          </w:p>
        </w:tc>
        <w:tc>
          <w:tcPr>
            <w:tcW w:w="3681" w:type="dxa"/>
            <w:hideMark/>
          </w:tcPr>
          <w:p w:rsidR="00F7293C" w:rsidRPr="00F7293C" w:rsidRDefault="00F7293C" w:rsidP="00F7293C">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rPr>
            </w:pPr>
            <w:proofErr w:type="spellStart"/>
            <w:r w:rsidRPr="00F7293C">
              <w:rPr>
                <w:rFonts w:eastAsia="Times New Roman" w:cs="Calibri"/>
                <w:color w:val="000000"/>
                <w:sz w:val="16"/>
                <w:szCs w:val="16"/>
              </w:rPr>
              <w:t>Prev</w:t>
            </w:r>
            <w:proofErr w:type="spellEnd"/>
            <w:r w:rsidRPr="00F7293C">
              <w:rPr>
                <w:rFonts w:eastAsia="Times New Roman" w:cs="Calibri"/>
                <w:color w:val="000000"/>
                <w:sz w:val="16"/>
                <w:szCs w:val="16"/>
              </w:rPr>
              <w:t xml:space="preserve"> of HIV </w:t>
            </w:r>
            <w:proofErr w:type="spellStart"/>
            <w:r w:rsidRPr="00F7293C">
              <w:rPr>
                <w:rFonts w:eastAsia="Times New Roman" w:cs="Calibri"/>
                <w:color w:val="000000"/>
                <w:sz w:val="16"/>
                <w:szCs w:val="16"/>
              </w:rPr>
              <w:t>transm</w:t>
            </w:r>
            <w:proofErr w:type="spellEnd"/>
          </w:p>
        </w:tc>
        <w:tc>
          <w:tcPr>
            <w:tcW w:w="1350" w:type="dxa"/>
            <w:hideMark/>
          </w:tcPr>
          <w:p w:rsidR="00F7293C" w:rsidRPr="00F7293C" w:rsidRDefault="00F7293C" w:rsidP="00F7293C">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rPr>
            </w:pPr>
            <w:r w:rsidRPr="00F7293C">
              <w:rPr>
                <w:rFonts w:eastAsia="Times New Roman" w:cs="Calibri"/>
                <w:color w:val="000000"/>
                <w:sz w:val="16"/>
                <w:szCs w:val="16"/>
              </w:rPr>
              <w:t> </w:t>
            </w:r>
          </w:p>
        </w:tc>
        <w:tc>
          <w:tcPr>
            <w:tcW w:w="2340" w:type="dxa"/>
            <w:hideMark/>
          </w:tcPr>
          <w:p w:rsidR="00F7293C" w:rsidRPr="00F7293C" w:rsidRDefault="00F7293C" w:rsidP="00F7293C">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rPr>
            </w:pPr>
            <w:r w:rsidRPr="00F7293C">
              <w:rPr>
                <w:rFonts w:eastAsia="Times New Roman" w:cs="Calibri"/>
                <w:color w:val="000000"/>
                <w:sz w:val="16"/>
                <w:szCs w:val="16"/>
              </w:rPr>
              <w:t> </w:t>
            </w:r>
          </w:p>
        </w:tc>
      </w:tr>
      <w:tr w:rsidR="00F7293C" w:rsidRPr="00F7293C" w:rsidTr="00F7293C">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369" w:type="dxa"/>
            <w:hideMark/>
          </w:tcPr>
          <w:p w:rsidR="00F7293C" w:rsidRPr="00F7293C" w:rsidRDefault="00F7293C" w:rsidP="00F7293C">
            <w:pPr>
              <w:spacing w:after="0" w:line="240" w:lineRule="auto"/>
              <w:rPr>
                <w:rFonts w:asciiTheme="minorHAnsi" w:eastAsia="Times New Roman" w:hAnsiTheme="minorHAnsi" w:cs="Calibri"/>
                <w:color w:val="000000"/>
                <w:sz w:val="16"/>
                <w:szCs w:val="16"/>
              </w:rPr>
            </w:pPr>
            <w:r w:rsidRPr="00F7293C">
              <w:rPr>
                <w:rFonts w:asciiTheme="minorHAnsi" w:eastAsia="Times New Roman" w:hAnsiTheme="minorHAnsi" w:cs="Calibri"/>
                <w:color w:val="000000"/>
                <w:sz w:val="16"/>
                <w:szCs w:val="16"/>
              </w:rPr>
              <w:t>Vote 91: Proj#5497</w:t>
            </w:r>
          </w:p>
        </w:tc>
        <w:tc>
          <w:tcPr>
            <w:tcW w:w="3681" w:type="dxa"/>
            <w:hideMark/>
          </w:tcPr>
          <w:p w:rsidR="00F7293C" w:rsidRPr="00F7293C" w:rsidRDefault="00F7293C" w:rsidP="00F7293C">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Calibri"/>
                <w:color w:val="000000"/>
                <w:sz w:val="16"/>
                <w:szCs w:val="16"/>
              </w:rPr>
            </w:pPr>
            <w:r w:rsidRPr="00F7293C">
              <w:rPr>
                <w:rFonts w:eastAsia="Times New Roman" w:cs="Calibri"/>
                <w:color w:val="000000"/>
                <w:sz w:val="16"/>
                <w:szCs w:val="16"/>
              </w:rPr>
              <w:t>HIV against IDU</w:t>
            </w:r>
          </w:p>
        </w:tc>
        <w:tc>
          <w:tcPr>
            <w:tcW w:w="1350" w:type="dxa"/>
            <w:hideMark/>
          </w:tcPr>
          <w:p w:rsidR="00F7293C" w:rsidRPr="00F7293C" w:rsidRDefault="00F7293C" w:rsidP="00F7293C">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Calibri"/>
                <w:color w:val="000000"/>
                <w:sz w:val="16"/>
                <w:szCs w:val="16"/>
              </w:rPr>
            </w:pPr>
            <w:r w:rsidRPr="00F7293C">
              <w:rPr>
                <w:rFonts w:eastAsia="Times New Roman" w:cs="Calibri"/>
                <w:color w:val="000000"/>
                <w:sz w:val="16"/>
                <w:szCs w:val="16"/>
              </w:rPr>
              <w:t> </w:t>
            </w:r>
          </w:p>
        </w:tc>
        <w:tc>
          <w:tcPr>
            <w:tcW w:w="2340" w:type="dxa"/>
            <w:hideMark/>
          </w:tcPr>
          <w:p w:rsidR="00F7293C" w:rsidRPr="00F7293C" w:rsidRDefault="00F7293C" w:rsidP="00F7293C">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Calibri"/>
                <w:color w:val="000000"/>
                <w:sz w:val="16"/>
                <w:szCs w:val="16"/>
              </w:rPr>
            </w:pPr>
            <w:r w:rsidRPr="00F7293C">
              <w:rPr>
                <w:rFonts w:eastAsia="Times New Roman" w:cs="Calibri"/>
                <w:color w:val="000000"/>
                <w:sz w:val="16"/>
                <w:szCs w:val="16"/>
              </w:rPr>
              <w:t> </w:t>
            </w:r>
          </w:p>
        </w:tc>
      </w:tr>
      <w:tr w:rsidR="00F7293C" w:rsidRPr="00F7293C" w:rsidTr="00F7293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369" w:type="dxa"/>
            <w:hideMark/>
          </w:tcPr>
          <w:p w:rsidR="00F7293C" w:rsidRPr="00F7293C" w:rsidRDefault="00F7293C" w:rsidP="00F7293C">
            <w:pPr>
              <w:spacing w:after="0" w:line="240" w:lineRule="auto"/>
              <w:rPr>
                <w:rFonts w:asciiTheme="minorHAnsi" w:eastAsia="Times New Roman" w:hAnsiTheme="minorHAnsi" w:cs="Calibri"/>
                <w:color w:val="000000"/>
                <w:sz w:val="16"/>
                <w:szCs w:val="16"/>
              </w:rPr>
            </w:pPr>
            <w:proofErr w:type="spellStart"/>
            <w:r w:rsidRPr="00F7293C">
              <w:rPr>
                <w:rFonts w:asciiTheme="minorHAnsi" w:eastAsia="Times New Roman" w:hAnsiTheme="minorHAnsi" w:cs="Calibri"/>
                <w:color w:val="000000"/>
                <w:sz w:val="16"/>
                <w:szCs w:val="16"/>
              </w:rPr>
              <w:t>Proj</w:t>
            </w:r>
            <w:proofErr w:type="spellEnd"/>
            <w:r w:rsidRPr="00F7293C">
              <w:rPr>
                <w:rFonts w:asciiTheme="minorHAnsi" w:eastAsia="Times New Roman" w:hAnsiTheme="minorHAnsi" w:cs="Calibri"/>
                <w:color w:val="000000"/>
                <w:sz w:val="16"/>
                <w:szCs w:val="16"/>
              </w:rPr>
              <w:t xml:space="preserve"> # 5280 </w:t>
            </w:r>
          </w:p>
        </w:tc>
        <w:tc>
          <w:tcPr>
            <w:tcW w:w="3681" w:type="dxa"/>
            <w:hideMark/>
          </w:tcPr>
          <w:p w:rsidR="00F7293C" w:rsidRPr="00F7293C" w:rsidRDefault="00F7293C" w:rsidP="00F7293C">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rPr>
            </w:pPr>
            <w:r w:rsidRPr="00F7293C">
              <w:rPr>
                <w:rFonts w:eastAsia="Times New Roman" w:cs="Calibri"/>
                <w:color w:val="000000"/>
                <w:sz w:val="16"/>
                <w:szCs w:val="16"/>
              </w:rPr>
              <w:t>MWSSP-Health Component</w:t>
            </w:r>
          </w:p>
        </w:tc>
        <w:tc>
          <w:tcPr>
            <w:tcW w:w="1350" w:type="dxa"/>
            <w:hideMark/>
          </w:tcPr>
          <w:p w:rsidR="00F7293C" w:rsidRPr="00F7293C" w:rsidRDefault="00F7293C" w:rsidP="00F7293C">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rPr>
            </w:pPr>
            <w:r w:rsidRPr="00F7293C">
              <w:rPr>
                <w:rFonts w:eastAsia="Times New Roman" w:cs="Calibri"/>
                <w:color w:val="000000"/>
                <w:sz w:val="16"/>
                <w:szCs w:val="16"/>
              </w:rPr>
              <w:t> </w:t>
            </w:r>
          </w:p>
        </w:tc>
        <w:tc>
          <w:tcPr>
            <w:tcW w:w="2340" w:type="dxa"/>
            <w:hideMark/>
          </w:tcPr>
          <w:p w:rsidR="00F7293C" w:rsidRPr="00F7293C" w:rsidRDefault="00F7293C" w:rsidP="00F7293C">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rPr>
            </w:pPr>
            <w:r w:rsidRPr="00F7293C">
              <w:rPr>
                <w:rFonts w:eastAsia="Times New Roman" w:cs="Calibri"/>
                <w:color w:val="000000"/>
                <w:sz w:val="16"/>
                <w:szCs w:val="16"/>
              </w:rPr>
              <w:t> </w:t>
            </w:r>
          </w:p>
        </w:tc>
      </w:tr>
      <w:tr w:rsidR="00F7293C" w:rsidRPr="00F7293C" w:rsidTr="00F7293C">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369" w:type="dxa"/>
            <w:hideMark/>
          </w:tcPr>
          <w:p w:rsidR="00F7293C" w:rsidRPr="00F7293C" w:rsidRDefault="00F7293C" w:rsidP="00F7293C">
            <w:pPr>
              <w:spacing w:after="0" w:line="240" w:lineRule="auto"/>
              <w:rPr>
                <w:rFonts w:asciiTheme="minorHAnsi" w:eastAsia="Times New Roman" w:hAnsiTheme="minorHAnsi" w:cs="Calibri"/>
                <w:color w:val="000000"/>
                <w:sz w:val="16"/>
                <w:szCs w:val="16"/>
              </w:rPr>
            </w:pPr>
            <w:proofErr w:type="spellStart"/>
            <w:r w:rsidRPr="00F7293C">
              <w:rPr>
                <w:rFonts w:asciiTheme="minorHAnsi" w:eastAsia="Times New Roman" w:hAnsiTheme="minorHAnsi" w:cs="Calibri"/>
                <w:color w:val="000000"/>
                <w:sz w:val="16"/>
                <w:szCs w:val="16"/>
              </w:rPr>
              <w:t>Proj</w:t>
            </w:r>
            <w:proofErr w:type="spellEnd"/>
            <w:r w:rsidRPr="00F7293C">
              <w:rPr>
                <w:rFonts w:asciiTheme="minorHAnsi" w:eastAsia="Times New Roman" w:hAnsiTheme="minorHAnsi" w:cs="Calibri"/>
                <w:color w:val="000000"/>
                <w:sz w:val="16"/>
                <w:szCs w:val="16"/>
              </w:rPr>
              <w:t># 5402-6</w:t>
            </w:r>
          </w:p>
        </w:tc>
        <w:tc>
          <w:tcPr>
            <w:tcW w:w="3681" w:type="dxa"/>
            <w:hideMark/>
          </w:tcPr>
          <w:p w:rsidR="00F7293C" w:rsidRPr="00F7293C" w:rsidRDefault="00F7293C" w:rsidP="00F7293C">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Calibri"/>
                <w:color w:val="000000"/>
                <w:sz w:val="16"/>
                <w:szCs w:val="16"/>
              </w:rPr>
            </w:pPr>
            <w:r w:rsidRPr="00F7293C">
              <w:rPr>
                <w:rFonts w:eastAsia="Times New Roman" w:cs="Calibri"/>
                <w:color w:val="000000"/>
                <w:sz w:val="16"/>
                <w:szCs w:val="16"/>
              </w:rPr>
              <w:t xml:space="preserve">Construction hospital </w:t>
            </w:r>
          </w:p>
        </w:tc>
        <w:tc>
          <w:tcPr>
            <w:tcW w:w="1350" w:type="dxa"/>
            <w:hideMark/>
          </w:tcPr>
          <w:p w:rsidR="00F7293C" w:rsidRPr="00F7293C" w:rsidRDefault="00F7293C" w:rsidP="00F7293C">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Calibri"/>
                <w:color w:val="000000"/>
                <w:sz w:val="16"/>
                <w:szCs w:val="16"/>
              </w:rPr>
            </w:pPr>
            <w:r w:rsidRPr="00F7293C">
              <w:rPr>
                <w:rFonts w:eastAsia="Times New Roman" w:cs="Calibri"/>
                <w:color w:val="000000"/>
                <w:sz w:val="16"/>
                <w:szCs w:val="16"/>
              </w:rPr>
              <w:t> </w:t>
            </w:r>
          </w:p>
        </w:tc>
        <w:tc>
          <w:tcPr>
            <w:tcW w:w="2340" w:type="dxa"/>
            <w:hideMark/>
          </w:tcPr>
          <w:p w:rsidR="00F7293C" w:rsidRPr="00F7293C" w:rsidRDefault="00F7293C" w:rsidP="00F7293C">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Calibri"/>
                <w:color w:val="000000"/>
                <w:sz w:val="16"/>
                <w:szCs w:val="16"/>
              </w:rPr>
            </w:pPr>
            <w:r w:rsidRPr="00F7293C">
              <w:rPr>
                <w:rFonts w:eastAsia="Times New Roman" w:cs="Calibri"/>
                <w:color w:val="000000"/>
                <w:sz w:val="16"/>
                <w:szCs w:val="16"/>
              </w:rPr>
              <w:t> </w:t>
            </w:r>
          </w:p>
        </w:tc>
      </w:tr>
      <w:tr w:rsidR="00F7293C" w:rsidRPr="00F7293C" w:rsidTr="00F7293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369" w:type="dxa"/>
            <w:hideMark/>
          </w:tcPr>
          <w:p w:rsidR="00F7293C" w:rsidRPr="00F7293C" w:rsidRDefault="00F7293C" w:rsidP="00F7293C">
            <w:pPr>
              <w:spacing w:after="0" w:line="240" w:lineRule="auto"/>
              <w:rPr>
                <w:rFonts w:asciiTheme="minorHAnsi" w:eastAsia="Times New Roman" w:hAnsiTheme="minorHAnsi" w:cs="Calibri"/>
                <w:color w:val="000000"/>
                <w:sz w:val="16"/>
                <w:szCs w:val="16"/>
              </w:rPr>
            </w:pPr>
            <w:proofErr w:type="spellStart"/>
            <w:r w:rsidRPr="00F7293C">
              <w:rPr>
                <w:rFonts w:asciiTheme="minorHAnsi" w:eastAsia="Times New Roman" w:hAnsiTheme="minorHAnsi" w:cs="Calibri"/>
                <w:color w:val="000000"/>
                <w:sz w:val="16"/>
                <w:szCs w:val="16"/>
              </w:rPr>
              <w:t>Proj</w:t>
            </w:r>
            <w:proofErr w:type="spellEnd"/>
            <w:r w:rsidRPr="00F7293C">
              <w:rPr>
                <w:rFonts w:asciiTheme="minorHAnsi" w:eastAsia="Times New Roman" w:hAnsiTheme="minorHAnsi" w:cs="Calibri"/>
                <w:color w:val="000000"/>
                <w:sz w:val="16"/>
                <w:szCs w:val="16"/>
              </w:rPr>
              <w:t># 5411</w:t>
            </w:r>
          </w:p>
        </w:tc>
        <w:tc>
          <w:tcPr>
            <w:tcW w:w="3681" w:type="dxa"/>
            <w:hideMark/>
          </w:tcPr>
          <w:p w:rsidR="00F7293C" w:rsidRPr="00F7293C" w:rsidRDefault="00F7293C" w:rsidP="00F7293C">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rPr>
            </w:pPr>
            <w:r w:rsidRPr="00F7293C">
              <w:rPr>
                <w:rFonts w:eastAsia="Times New Roman" w:cs="Calibri"/>
                <w:color w:val="000000"/>
                <w:sz w:val="16"/>
                <w:szCs w:val="16"/>
              </w:rPr>
              <w:t>Referral hospital</w:t>
            </w:r>
          </w:p>
        </w:tc>
        <w:tc>
          <w:tcPr>
            <w:tcW w:w="1350" w:type="dxa"/>
            <w:hideMark/>
          </w:tcPr>
          <w:p w:rsidR="00F7293C" w:rsidRPr="00F7293C" w:rsidRDefault="00F7293C" w:rsidP="00F7293C">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rPr>
            </w:pPr>
            <w:r w:rsidRPr="00F7293C">
              <w:rPr>
                <w:rFonts w:eastAsia="Times New Roman" w:cs="Calibri"/>
                <w:color w:val="000000"/>
                <w:sz w:val="16"/>
                <w:szCs w:val="16"/>
              </w:rPr>
              <w:t> </w:t>
            </w:r>
          </w:p>
        </w:tc>
        <w:tc>
          <w:tcPr>
            <w:tcW w:w="2340" w:type="dxa"/>
            <w:hideMark/>
          </w:tcPr>
          <w:p w:rsidR="00F7293C" w:rsidRPr="00F7293C" w:rsidRDefault="00F7293C" w:rsidP="00F7293C">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rPr>
            </w:pPr>
            <w:r w:rsidRPr="00F7293C">
              <w:rPr>
                <w:rFonts w:eastAsia="Times New Roman" w:cs="Calibri"/>
                <w:color w:val="000000"/>
                <w:sz w:val="16"/>
                <w:szCs w:val="16"/>
              </w:rPr>
              <w:t> </w:t>
            </w:r>
          </w:p>
        </w:tc>
      </w:tr>
      <w:tr w:rsidR="00F7293C" w:rsidRPr="00F7293C" w:rsidTr="00F7293C">
        <w:trPr>
          <w:cnfStyle w:val="000000010000" w:firstRow="0" w:lastRow="0" w:firstColumn="0" w:lastColumn="0" w:oddVBand="0" w:evenVBand="0" w:oddHBand="0" w:evenHBand="1"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1369" w:type="dxa"/>
            <w:hideMark/>
          </w:tcPr>
          <w:p w:rsidR="00F7293C" w:rsidRPr="00F7293C" w:rsidRDefault="00F7293C" w:rsidP="00F7293C">
            <w:pPr>
              <w:spacing w:after="0" w:line="240" w:lineRule="auto"/>
              <w:rPr>
                <w:rFonts w:asciiTheme="minorHAnsi" w:eastAsia="Times New Roman" w:hAnsiTheme="minorHAnsi" w:cs="Calibri"/>
                <w:color w:val="000000"/>
                <w:sz w:val="16"/>
                <w:szCs w:val="16"/>
              </w:rPr>
            </w:pPr>
            <w:proofErr w:type="spellStart"/>
            <w:r w:rsidRPr="00F7293C">
              <w:rPr>
                <w:rFonts w:asciiTheme="minorHAnsi" w:eastAsia="Times New Roman" w:hAnsiTheme="minorHAnsi" w:cs="Calibri"/>
                <w:color w:val="000000"/>
                <w:sz w:val="16"/>
                <w:szCs w:val="16"/>
              </w:rPr>
              <w:t>Proj</w:t>
            </w:r>
            <w:proofErr w:type="spellEnd"/>
            <w:r w:rsidRPr="00F7293C">
              <w:rPr>
                <w:rFonts w:asciiTheme="minorHAnsi" w:eastAsia="Times New Roman" w:hAnsiTheme="minorHAnsi" w:cs="Calibri"/>
                <w:color w:val="000000"/>
                <w:sz w:val="16"/>
                <w:szCs w:val="16"/>
              </w:rPr>
              <w:t xml:space="preserve"> 5414</w:t>
            </w:r>
          </w:p>
        </w:tc>
        <w:tc>
          <w:tcPr>
            <w:tcW w:w="3681" w:type="dxa"/>
            <w:hideMark/>
          </w:tcPr>
          <w:p w:rsidR="00F7293C" w:rsidRPr="00F7293C" w:rsidRDefault="00F7293C" w:rsidP="00F7293C">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Calibri"/>
                <w:color w:val="000000"/>
                <w:sz w:val="16"/>
                <w:szCs w:val="16"/>
              </w:rPr>
            </w:pPr>
            <w:r w:rsidRPr="00F7293C">
              <w:rPr>
                <w:rFonts w:eastAsia="Times New Roman" w:cs="Calibri"/>
                <w:color w:val="000000"/>
                <w:sz w:val="16"/>
                <w:szCs w:val="16"/>
              </w:rPr>
              <w:t>Child Survival (74% health and 25% nutrition)</w:t>
            </w:r>
          </w:p>
        </w:tc>
        <w:tc>
          <w:tcPr>
            <w:tcW w:w="1350" w:type="dxa"/>
            <w:hideMark/>
          </w:tcPr>
          <w:p w:rsidR="00F7293C" w:rsidRPr="00F7293C" w:rsidRDefault="00F7293C" w:rsidP="00F7293C">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Calibri"/>
                <w:color w:val="000000"/>
                <w:sz w:val="16"/>
                <w:szCs w:val="16"/>
              </w:rPr>
            </w:pPr>
            <w:r w:rsidRPr="00F7293C">
              <w:rPr>
                <w:rFonts w:eastAsia="Times New Roman" w:cs="Calibri"/>
                <w:color w:val="000000"/>
                <w:sz w:val="16"/>
                <w:szCs w:val="16"/>
              </w:rPr>
              <w:t> </w:t>
            </w:r>
          </w:p>
        </w:tc>
        <w:tc>
          <w:tcPr>
            <w:tcW w:w="2340" w:type="dxa"/>
            <w:hideMark/>
          </w:tcPr>
          <w:p w:rsidR="00F7293C" w:rsidRPr="00F7293C" w:rsidRDefault="00F7293C" w:rsidP="00F7293C">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Calibri"/>
                <w:color w:val="000000"/>
                <w:sz w:val="16"/>
                <w:szCs w:val="16"/>
              </w:rPr>
            </w:pPr>
            <w:r w:rsidRPr="00F7293C">
              <w:rPr>
                <w:rFonts w:eastAsia="Times New Roman" w:cs="Calibri"/>
                <w:color w:val="000000"/>
                <w:sz w:val="16"/>
                <w:szCs w:val="16"/>
              </w:rPr>
              <w:t> </w:t>
            </w:r>
          </w:p>
        </w:tc>
      </w:tr>
      <w:tr w:rsidR="00F7293C" w:rsidRPr="00F7293C" w:rsidTr="00F7293C">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1369" w:type="dxa"/>
            <w:hideMark/>
          </w:tcPr>
          <w:p w:rsidR="00F7293C" w:rsidRPr="00F7293C" w:rsidRDefault="00F7293C" w:rsidP="00F7293C">
            <w:pPr>
              <w:spacing w:after="0" w:line="240" w:lineRule="auto"/>
              <w:rPr>
                <w:rFonts w:asciiTheme="minorHAnsi" w:eastAsia="Times New Roman" w:hAnsiTheme="minorHAnsi" w:cs="Calibri"/>
                <w:color w:val="000000"/>
                <w:sz w:val="16"/>
                <w:szCs w:val="16"/>
              </w:rPr>
            </w:pPr>
            <w:proofErr w:type="spellStart"/>
            <w:r w:rsidRPr="00F7293C">
              <w:rPr>
                <w:rFonts w:asciiTheme="minorHAnsi" w:eastAsia="Times New Roman" w:hAnsiTheme="minorHAnsi" w:cs="Calibri"/>
                <w:color w:val="000000"/>
                <w:sz w:val="16"/>
                <w:szCs w:val="16"/>
              </w:rPr>
              <w:t>Proj</w:t>
            </w:r>
            <w:proofErr w:type="spellEnd"/>
            <w:r w:rsidRPr="00F7293C">
              <w:rPr>
                <w:rFonts w:asciiTheme="minorHAnsi" w:eastAsia="Times New Roman" w:hAnsiTheme="minorHAnsi" w:cs="Calibri"/>
                <w:color w:val="000000"/>
                <w:sz w:val="16"/>
                <w:szCs w:val="16"/>
              </w:rPr>
              <w:t xml:space="preserve"> 6517</w:t>
            </w:r>
          </w:p>
        </w:tc>
        <w:tc>
          <w:tcPr>
            <w:tcW w:w="3681" w:type="dxa"/>
            <w:hideMark/>
          </w:tcPr>
          <w:p w:rsidR="00F7293C" w:rsidRPr="00F7293C" w:rsidRDefault="00F7293C" w:rsidP="00F7293C">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rPr>
            </w:pPr>
            <w:r w:rsidRPr="00F7293C">
              <w:rPr>
                <w:rFonts w:eastAsia="Times New Roman" w:cs="Calibri"/>
                <w:color w:val="000000"/>
                <w:sz w:val="16"/>
                <w:szCs w:val="16"/>
              </w:rPr>
              <w:t>Child Survival (75% health and 25% nutrition)</w:t>
            </w:r>
          </w:p>
        </w:tc>
        <w:tc>
          <w:tcPr>
            <w:tcW w:w="1350" w:type="dxa"/>
            <w:hideMark/>
          </w:tcPr>
          <w:p w:rsidR="00F7293C" w:rsidRPr="00F7293C" w:rsidRDefault="00F7293C" w:rsidP="00F7293C">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rPr>
            </w:pPr>
            <w:r w:rsidRPr="00F7293C">
              <w:rPr>
                <w:rFonts w:eastAsia="Times New Roman" w:cs="Calibri"/>
                <w:color w:val="000000"/>
                <w:sz w:val="16"/>
                <w:szCs w:val="16"/>
              </w:rPr>
              <w:t> </w:t>
            </w:r>
          </w:p>
        </w:tc>
        <w:tc>
          <w:tcPr>
            <w:tcW w:w="2340" w:type="dxa"/>
            <w:hideMark/>
          </w:tcPr>
          <w:p w:rsidR="00F7293C" w:rsidRPr="00F7293C" w:rsidRDefault="00F7293C" w:rsidP="00F7293C">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rPr>
            </w:pPr>
            <w:r w:rsidRPr="00F7293C">
              <w:rPr>
                <w:rFonts w:eastAsia="Times New Roman" w:cs="Calibri"/>
                <w:color w:val="000000"/>
                <w:sz w:val="16"/>
                <w:szCs w:val="16"/>
              </w:rPr>
              <w:t> </w:t>
            </w:r>
          </w:p>
        </w:tc>
      </w:tr>
      <w:tr w:rsidR="00F7293C" w:rsidRPr="00F7293C" w:rsidTr="00F7293C">
        <w:trPr>
          <w:cnfStyle w:val="000000010000" w:firstRow="0" w:lastRow="0" w:firstColumn="0" w:lastColumn="0" w:oddVBand="0" w:evenVBand="0" w:oddHBand="0" w:evenHBand="1"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1369" w:type="dxa"/>
            <w:hideMark/>
          </w:tcPr>
          <w:p w:rsidR="00F7293C" w:rsidRPr="00F7293C" w:rsidRDefault="00F7293C" w:rsidP="00F7293C">
            <w:pPr>
              <w:spacing w:after="0" w:line="240" w:lineRule="auto"/>
              <w:rPr>
                <w:rFonts w:asciiTheme="minorHAnsi" w:eastAsia="Times New Roman" w:hAnsiTheme="minorHAnsi" w:cs="Calibri"/>
                <w:color w:val="000000"/>
                <w:sz w:val="16"/>
                <w:szCs w:val="16"/>
              </w:rPr>
            </w:pPr>
            <w:r w:rsidRPr="00F7293C">
              <w:rPr>
                <w:rFonts w:asciiTheme="minorHAnsi" w:eastAsia="Times New Roman" w:hAnsiTheme="minorHAnsi" w:cs="Calibri"/>
                <w:color w:val="000000"/>
                <w:sz w:val="16"/>
                <w:szCs w:val="16"/>
              </w:rPr>
              <w:t>Regional Projects: 5421, 5486. 5492. 5493. 5494. 5495. 5499</w:t>
            </w:r>
          </w:p>
        </w:tc>
        <w:tc>
          <w:tcPr>
            <w:tcW w:w="3681" w:type="dxa"/>
            <w:hideMark/>
          </w:tcPr>
          <w:p w:rsidR="00F7293C" w:rsidRPr="00F7293C" w:rsidRDefault="00F7293C" w:rsidP="00F7293C">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Calibri"/>
                <w:color w:val="000000"/>
                <w:sz w:val="16"/>
                <w:szCs w:val="16"/>
              </w:rPr>
            </w:pPr>
            <w:r w:rsidRPr="00F7293C">
              <w:rPr>
                <w:rFonts w:eastAsia="Times New Roman" w:cs="Calibri"/>
                <w:color w:val="000000"/>
                <w:sz w:val="16"/>
                <w:szCs w:val="16"/>
              </w:rPr>
              <w:t> </w:t>
            </w:r>
          </w:p>
        </w:tc>
        <w:tc>
          <w:tcPr>
            <w:tcW w:w="1350" w:type="dxa"/>
            <w:hideMark/>
          </w:tcPr>
          <w:p w:rsidR="00F7293C" w:rsidRPr="00F7293C" w:rsidRDefault="00F7293C" w:rsidP="00F7293C">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Calibri"/>
                <w:color w:val="000000"/>
                <w:sz w:val="16"/>
                <w:szCs w:val="16"/>
              </w:rPr>
            </w:pPr>
            <w:r w:rsidRPr="00F7293C">
              <w:rPr>
                <w:rFonts w:eastAsia="Times New Roman" w:cs="Calibri"/>
                <w:color w:val="000000"/>
                <w:sz w:val="16"/>
                <w:szCs w:val="16"/>
              </w:rPr>
              <w:t> </w:t>
            </w:r>
          </w:p>
        </w:tc>
        <w:tc>
          <w:tcPr>
            <w:tcW w:w="2340" w:type="dxa"/>
            <w:hideMark/>
          </w:tcPr>
          <w:p w:rsidR="00F7293C" w:rsidRPr="00F7293C" w:rsidRDefault="00F7293C" w:rsidP="00F7293C">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Calibri"/>
                <w:color w:val="000000"/>
                <w:sz w:val="16"/>
                <w:szCs w:val="16"/>
              </w:rPr>
            </w:pPr>
            <w:r w:rsidRPr="00F7293C">
              <w:rPr>
                <w:rFonts w:eastAsia="Times New Roman" w:cs="Calibri"/>
                <w:color w:val="000000"/>
                <w:sz w:val="16"/>
                <w:szCs w:val="16"/>
              </w:rPr>
              <w:t> </w:t>
            </w:r>
          </w:p>
        </w:tc>
      </w:tr>
    </w:tbl>
    <w:p w:rsidR="002809D8" w:rsidRDefault="002809D8" w:rsidP="002809D8"/>
    <w:p w:rsidR="002809D8" w:rsidRPr="002809D8" w:rsidRDefault="002809D8" w:rsidP="002809D8">
      <w:pPr>
        <w:rPr>
          <w:i/>
        </w:rPr>
      </w:pPr>
    </w:p>
    <w:sectPr w:rsidR="002809D8" w:rsidRPr="002809D8" w:rsidSect="008C3DC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688D" w:rsidRDefault="0058688D" w:rsidP="00E012B9">
      <w:pPr>
        <w:spacing w:after="0" w:line="240" w:lineRule="auto"/>
      </w:pPr>
      <w:r>
        <w:separator/>
      </w:r>
    </w:p>
  </w:endnote>
  <w:endnote w:type="continuationSeparator" w:id="0">
    <w:p w:rsidR="0058688D" w:rsidRDefault="0058688D" w:rsidP="00E01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Meiryo"/>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688D" w:rsidRDefault="0058688D" w:rsidP="00E012B9">
      <w:pPr>
        <w:spacing w:after="0" w:line="240" w:lineRule="auto"/>
      </w:pPr>
      <w:r>
        <w:separator/>
      </w:r>
    </w:p>
  </w:footnote>
  <w:footnote w:type="continuationSeparator" w:id="0">
    <w:p w:rsidR="0058688D" w:rsidRDefault="0058688D" w:rsidP="00E012B9">
      <w:pPr>
        <w:spacing w:after="0" w:line="240" w:lineRule="auto"/>
      </w:pPr>
      <w:r>
        <w:continuationSeparator/>
      </w:r>
    </w:p>
  </w:footnote>
  <w:footnote w:id="1">
    <w:p w:rsidR="00F7293C" w:rsidRPr="00E012B9" w:rsidRDefault="00F7293C">
      <w:pPr>
        <w:pStyle w:val="FootnoteText"/>
        <w:rPr>
          <w:sz w:val="20"/>
          <w:szCs w:val="20"/>
        </w:rPr>
      </w:pPr>
      <w:r>
        <w:rPr>
          <w:rStyle w:val="FootnoteReference"/>
        </w:rPr>
        <w:footnoteRef/>
      </w:r>
      <w:r>
        <w:t xml:space="preserve"> </w:t>
      </w:r>
      <w:r>
        <w:rPr>
          <w:sz w:val="20"/>
          <w:szCs w:val="20"/>
        </w:rPr>
        <w:t>Co</w:t>
      </w:r>
      <w:r w:rsidRPr="00E012B9">
        <w:rPr>
          <w:sz w:val="18"/>
          <w:szCs w:val="18"/>
        </w:rPr>
        <w:t>mprised of representatives from the MOHSW, USAID, DANIDA, and the World Bank</w:t>
      </w:r>
    </w:p>
  </w:footnote>
  <w:footnote w:id="2">
    <w:p w:rsidR="00F7293C" w:rsidRPr="000E7879" w:rsidRDefault="00F7293C" w:rsidP="000E7879">
      <w:pPr>
        <w:jc w:val="both"/>
        <w:rPr>
          <w:sz w:val="20"/>
          <w:szCs w:val="20"/>
        </w:rPr>
      </w:pPr>
      <w:r>
        <w:rPr>
          <w:rStyle w:val="FootnoteReference"/>
        </w:rPr>
        <w:footnoteRef/>
      </w:r>
      <w:r>
        <w:t xml:space="preserve"> </w:t>
      </w:r>
      <w:r>
        <w:rPr>
          <w:sz w:val="16"/>
          <w:szCs w:val="16"/>
        </w:rPr>
        <w:t>Note</w:t>
      </w:r>
      <w:proofErr w:type="gramStart"/>
      <w:r>
        <w:rPr>
          <w:sz w:val="16"/>
          <w:szCs w:val="16"/>
        </w:rPr>
        <w:t>,</w:t>
      </w:r>
      <w:proofErr w:type="gramEnd"/>
      <w:r>
        <w:rPr>
          <w:sz w:val="16"/>
          <w:szCs w:val="16"/>
        </w:rPr>
        <w:t xml:space="preserve"> the scope of this RBA represents only</w:t>
      </w:r>
      <w:r w:rsidRPr="000E7879">
        <w:rPr>
          <w:sz w:val="16"/>
          <w:szCs w:val="16"/>
        </w:rPr>
        <w:t xml:space="preserve"> a fraction of overall health care spending in the country</w:t>
      </w:r>
      <w:r>
        <w:rPr>
          <w:sz w:val="16"/>
          <w:szCs w:val="16"/>
        </w:rPr>
        <w:t xml:space="preserve"> (that going through the public sector exchequer). The</w:t>
      </w:r>
      <w:r w:rsidRPr="000E7879">
        <w:rPr>
          <w:sz w:val="16"/>
          <w:szCs w:val="16"/>
        </w:rPr>
        <w:t xml:space="preserve"> latest analysis for </w:t>
      </w:r>
      <w:r>
        <w:rPr>
          <w:sz w:val="16"/>
          <w:szCs w:val="16"/>
        </w:rPr>
        <w:t xml:space="preserve">the overall health care system is found </w:t>
      </w:r>
      <w:r w:rsidRPr="000E7879">
        <w:rPr>
          <w:sz w:val="16"/>
          <w:szCs w:val="16"/>
        </w:rPr>
        <w:t xml:space="preserve">in the 2009/10 National Health Accounts (NHA) report (that includes private sector and off budget support as well). </w:t>
      </w:r>
      <w:r>
        <w:rPr>
          <w:sz w:val="16"/>
          <w:szCs w:val="16"/>
        </w:rPr>
        <w:t xml:space="preserve">Findings from the 2009/10 NHA </w:t>
      </w:r>
      <w:r w:rsidRPr="000E7879">
        <w:rPr>
          <w:sz w:val="16"/>
          <w:szCs w:val="16"/>
        </w:rPr>
        <w:t>show that as a funding source, the GOT contributes only 26% of all health expenditures in the country, with households providing for 34% (largely out-of-pocket) and donors financing the largest share at 40% (inclusive of on-budget and off-budget support).</w:t>
      </w:r>
      <w:r w:rsidRPr="000E7879">
        <w:rPr>
          <w:sz w:val="20"/>
          <w:szCs w:val="20"/>
        </w:rPr>
        <w:t xml:space="preserve"> </w:t>
      </w:r>
    </w:p>
    <w:p w:rsidR="00F7293C" w:rsidRDefault="00F7293C">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B3BA2"/>
    <w:multiLevelType w:val="hybridMultilevel"/>
    <w:tmpl w:val="F58CC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8CD77D7"/>
    <w:multiLevelType w:val="hybridMultilevel"/>
    <w:tmpl w:val="2B165260"/>
    <w:lvl w:ilvl="0" w:tplc="FABED9C0">
      <w:start w:val="2012"/>
      <w:numFmt w:val="bullet"/>
      <w:lvlText w:val=""/>
      <w:lvlJc w:val="left"/>
      <w:pPr>
        <w:ind w:left="720" w:hanging="360"/>
      </w:pPr>
      <w:rPr>
        <w:rFonts w:ascii="Wingdings" w:eastAsiaTheme="minorHAnsi" w:hAnsi="Wingdings"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AC494E"/>
    <w:multiLevelType w:val="hybridMultilevel"/>
    <w:tmpl w:val="038C89E6"/>
    <w:lvl w:ilvl="0" w:tplc="FABED9C0">
      <w:start w:val="201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365CBA"/>
    <w:multiLevelType w:val="hybridMultilevel"/>
    <w:tmpl w:val="3DC2AC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EB47B6B"/>
    <w:multiLevelType w:val="hybridMultilevel"/>
    <w:tmpl w:val="0DBC5A46"/>
    <w:lvl w:ilvl="0" w:tplc="FABED9C0">
      <w:start w:val="201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4BF4C98"/>
    <w:multiLevelType w:val="hybridMultilevel"/>
    <w:tmpl w:val="9D8437E6"/>
    <w:lvl w:ilvl="0" w:tplc="913060DE">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BF9"/>
    <w:rsid w:val="00032DBF"/>
    <w:rsid w:val="000900C7"/>
    <w:rsid w:val="000A4F9A"/>
    <w:rsid w:val="000E29F2"/>
    <w:rsid w:val="000E7879"/>
    <w:rsid w:val="00170A6B"/>
    <w:rsid w:val="001D037C"/>
    <w:rsid w:val="001D6037"/>
    <w:rsid w:val="00213D30"/>
    <w:rsid w:val="00217CA8"/>
    <w:rsid w:val="00221D56"/>
    <w:rsid w:val="00223704"/>
    <w:rsid w:val="00230A8D"/>
    <w:rsid w:val="00234AF2"/>
    <w:rsid w:val="002809D8"/>
    <w:rsid w:val="00293635"/>
    <w:rsid w:val="002A3EF7"/>
    <w:rsid w:val="002B727B"/>
    <w:rsid w:val="002D1A99"/>
    <w:rsid w:val="002E1A08"/>
    <w:rsid w:val="0034313B"/>
    <w:rsid w:val="00357A81"/>
    <w:rsid w:val="003820A2"/>
    <w:rsid w:val="00382FC1"/>
    <w:rsid w:val="0039298F"/>
    <w:rsid w:val="003D3DA6"/>
    <w:rsid w:val="003D43D7"/>
    <w:rsid w:val="003E3B79"/>
    <w:rsid w:val="00417A1A"/>
    <w:rsid w:val="00430C0D"/>
    <w:rsid w:val="00482F6A"/>
    <w:rsid w:val="004D5F48"/>
    <w:rsid w:val="004D6C2B"/>
    <w:rsid w:val="004F24E2"/>
    <w:rsid w:val="00515EC1"/>
    <w:rsid w:val="0057277D"/>
    <w:rsid w:val="0058688D"/>
    <w:rsid w:val="005B2A5F"/>
    <w:rsid w:val="005F21B9"/>
    <w:rsid w:val="0065384A"/>
    <w:rsid w:val="00660B18"/>
    <w:rsid w:val="006E6413"/>
    <w:rsid w:val="00731C5E"/>
    <w:rsid w:val="00757ECD"/>
    <w:rsid w:val="007733CF"/>
    <w:rsid w:val="00773BF9"/>
    <w:rsid w:val="00781835"/>
    <w:rsid w:val="007D2707"/>
    <w:rsid w:val="0080382B"/>
    <w:rsid w:val="008118E4"/>
    <w:rsid w:val="008451ED"/>
    <w:rsid w:val="0086339C"/>
    <w:rsid w:val="0089760B"/>
    <w:rsid w:val="008A06D8"/>
    <w:rsid w:val="008C3DC9"/>
    <w:rsid w:val="008F321E"/>
    <w:rsid w:val="008F42BD"/>
    <w:rsid w:val="00917FB7"/>
    <w:rsid w:val="00965A9F"/>
    <w:rsid w:val="00990274"/>
    <w:rsid w:val="009A3714"/>
    <w:rsid w:val="00A3297A"/>
    <w:rsid w:val="00B41A6F"/>
    <w:rsid w:val="00B50BA9"/>
    <w:rsid w:val="00B51CB4"/>
    <w:rsid w:val="00BA27A6"/>
    <w:rsid w:val="00BA40F0"/>
    <w:rsid w:val="00BC7A1F"/>
    <w:rsid w:val="00C54E6B"/>
    <w:rsid w:val="00C761ED"/>
    <w:rsid w:val="00C77F7C"/>
    <w:rsid w:val="00C91B64"/>
    <w:rsid w:val="00CC4AED"/>
    <w:rsid w:val="00CF65B7"/>
    <w:rsid w:val="00D148E5"/>
    <w:rsid w:val="00D33F1F"/>
    <w:rsid w:val="00D40EEC"/>
    <w:rsid w:val="00D722A2"/>
    <w:rsid w:val="00DB001A"/>
    <w:rsid w:val="00DC15EE"/>
    <w:rsid w:val="00E012B9"/>
    <w:rsid w:val="00E04305"/>
    <w:rsid w:val="00E06344"/>
    <w:rsid w:val="00E1019D"/>
    <w:rsid w:val="00E11A94"/>
    <w:rsid w:val="00E348AF"/>
    <w:rsid w:val="00E64E4F"/>
    <w:rsid w:val="00E87D19"/>
    <w:rsid w:val="00ED1790"/>
    <w:rsid w:val="00F21663"/>
    <w:rsid w:val="00F25E8A"/>
    <w:rsid w:val="00F36ACD"/>
    <w:rsid w:val="00F50AB0"/>
    <w:rsid w:val="00F7293C"/>
    <w:rsid w:val="00FD05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BF9"/>
    <w:pPr>
      <w:spacing w:after="180" w:line="274" w:lineRule="auto"/>
    </w:pPr>
  </w:style>
  <w:style w:type="paragraph" w:styleId="Heading1">
    <w:name w:val="heading 1"/>
    <w:basedOn w:val="Normal"/>
    <w:next w:val="Normal"/>
    <w:link w:val="Heading1Char"/>
    <w:uiPriority w:val="9"/>
    <w:qFormat/>
    <w:rsid w:val="00773BF9"/>
    <w:pPr>
      <w:keepNext/>
      <w:keepLines/>
      <w:spacing w:before="360" w:after="0" w:line="240" w:lineRule="auto"/>
      <w:outlineLvl w:val="0"/>
    </w:pPr>
    <w:rPr>
      <w:rFonts w:asciiTheme="majorHAnsi" w:eastAsiaTheme="majorEastAsia" w:hAnsiTheme="majorHAnsi" w:cstheme="majorBidi"/>
      <w:bCs/>
      <w:color w:val="1F497D" w:themeColor="text2"/>
      <w:sz w:val="32"/>
      <w:szCs w:val="28"/>
    </w:rPr>
  </w:style>
  <w:style w:type="paragraph" w:styleId="Heading2">
    <w:name w:val="heading 2"/>
    <w:basedOn w:val="Normal"/>
    <w:next w:val="Normal"/>
    <w:link w:val="Heading2Char"/>
    <w:uiPriority w:val="9"/>
    <w:unhideWhenUsed/>
    <w:qFormat/>
    <w:rsid w:val="00773BF9"/>
    <w:pPr>
      <w:keepNext/>
      <w:keepLines/>
      <w:spacing w:before="120" w:after="0" w:line="240" w:lineRule="auto"/>
      <w:outlineLvl w:val="1"/>
    </w:pPr>
    <w:rPr>
      <w:rFonts w:asciiTheme="majorHAnsi" w:eastAsiaTheme="majorEastAsia" w:hAnsiTheme="majorHAnsi" w:cstheme="majorBidi"/>
      <w:b/>
      <w:bCs/>
      <w:color w:val="9BBB59" w:themeColor="accent3"/>
      <w:sz w:val="28"/>
      <w:szCs w:val="26"/>
    </w:rPr>
  </w:style>
  <w:style w:type="paragraph" w:styleId="Heading3">
    <w:name w:val="heading 3"/>
    <w:basedOn w:val="Normal"/>
    <w:next w:val="Normal"/>
    <w:link w:val="Heading3Char"/>
    <w:uiPriority w:val="9"/>
    <w:unhideWhenUsed/>
    <w:qFormat/>
    <w:rsid w:val="00773BF9"/>
    <w:pPr>
      <w:keepNext/>
      <w:keepLines/>
      <w:spacing w:before="20" w:after="0" w:line="240" w:lineRule="auto"/>
      <w:outlineLvl w:val="2"/>
    </w:pPr>
    <w:rPr>
      <w:rFonts w:eastAsiaTheme="majorEastAsia" w:cstheme="majorBidi"/>
      <w:b/>
      <w:bCs/>
      <w:color w:val="1F497D" w:themeColor="text2"/>
      <w:sz w:val="24"/>
    </w:rPr>
  </w:style>
  <w:style w:type="paragraph" w:styleId="Heading4">
    <w:name w:val="heading 4"/>
    <w:basedOn w:val="Normal"/>
    <w:next w:val="Normal"/>
    <w:link w:val="Heading4Char"/>
    <w:uiPriority w:val="9"/>
    <w:unhideWhenUsed/>
    <w:qFormat/>
    <w:rsid w:val="00773BF9"/>
    <w:pPr>
      <w:keepNext/>
      <w:keepLines/>
      <w:spacing w:before="200" w:after="0"/>
      <w:outlineLvl w:val="3"/>
    </w:pPr>
    <w:rPr>
      <w:rFonts w:asciiTheme="majorHAnsi" w:eastAsiaTheme="majorEastAsia" w:hAnsiTheme="majorHAnsi" w:cstheme="majorBidi"/>
      <w:b/>
      <w:bCs/>
      <w:i/>
      <w:iCs/>
      <w:color w:val="262626" w:themeColor="text1" w:themeTint="D9"/>
    </w:rPr>
  </w:style>
  <w:style w:type="paragraph" w:styleId="Heading5">
    <w:name w:val="heading 5"/>
    <w:basedOn w:val="Normal"/>
    <w:next w:val="Normal"/>
    <w:link w:val="Heading5Char"/>
    <w:uiPriority w:val="9"/>
    <w:semiHidden/>
    <w:unhideWhenUsed/>
    <w:qFormat/>
    <w:rsid w:val="00773BF9"/>
    <w:pPr>
      <w:keepNext/>
      <w:keepLines/>
      <w:spacing w:before="200" w:after="0"/>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semiHidden/>
    <w:unhideWhenUsed/>
    <w:qFormat/>
    <w:rsid w:val="00773BF9"/>
    <w:pPr>
      <w:keepNext/>
      <w:keepLines/>
      <w:spacing w:before="200" w:after="0"/>
      <w:outlineLvl w:val="5"/>
    </w:pPr>
    <w:rPr>
      <w:rFonts w:asciiTheme="majorHAnsi" w:eastAsiaTheme="majorEastAsia" w:hAnsiTheme="majorHAnsi" w:cstheme="majorBidi"/>
      <w:i/>
      <w:iCs/>
      <w:color w:val="000000" w:themeColor="text1"/>
    </w:rPr>
  </w:style>
  <w:style w:type="paragraph" w:styleId="Heading7">
    <w:name w:val="heading 7"/>
    <w:basedOn w:val="Normal"/>
    <w:next w:val="Normal"/>
    <w:link w:val="Heading7Char"/>
    <w:uiPriority w:val="9"/>
    <w:semiHidden/>
    <w:unhideWhenUsed/>
    <w:qFormat/>
    <w:rsid w:val="00773BF9"/>
    <w:pPr>
      <w:keepNext/>
      <w:keepLines/>
      <w:spacing w:before="200" w:after="0"/>
      <w:outlineLvl w:val="6"/>
    </w:pPr>
    <w:rPr>
      <w:rFonts w:asciiTheme="majorHAnsi" w:eastAsiaTheme="majorEastAsia" w:hAnsiTheme="majorHAnsi" w:cstheme="majorBidi"/>
      <w:i/>
      <w:iCs/>
      <w:color w:val="1F497D" w:themeColor="text2"/>
    </w:rPr>
  </w:style>
  <w:style w:type="paragraph" w:styleId="Heading8">
    <w:name w:val="heading 8"/>
    <w:basedOn w:val="Normal"/>
    <w:next w:val="Normal"/>
    <w:link w:val="Heading8Char"/>
    <w:uiPriority w:val="9"/>
    <w:semiHidden/>
    <w:unhideWhenUsed/>
    <w:qFormat/>
    <w:rsid w:val="00773BF9"/>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773BF9"/>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3BF9"/>
    <w:rPr>
      <w:rFonts w:asciiTheme="majorHAnsi" w:eastAsiaTheme="majorEastAsia" w:hAnsiTheme="majorHAnsi" w:cstheme="majorBidi"/>
      <w:bCs/>
      <w:color w:val="1F497D" w:themeColor="text2"/>
      <w:sz w:val="32"/>
      <w:szCs w:val="28"/>
    </w:rPr>
  </w:style>
  <w:style w:type="character" w:customStyle="1" w:styleId="Heading2Char">
    <w:name w:val="Heading 2 Char"/>
    <w:basedOn w:val="DefaultParagraphFont"/>
    <w:link w:val="Heading2"/>
    <w:uiPriority w:val="9"/>
    <w:rsid w:val="00773BF9"/>
    <w:rPr>
      <w:rFonts w:asciiTheme="majorHAnsi" w:eastAsiaTheme="majorEastAsia" w:hAnsiTheme="majorHAnsi" w:cstheme="majorBidi"/>
      <w:b/>
      <w:bCs/>
      <w:color w:val="9BBB59" w:themeColor="accent3"/>
      <w:sz w:val="28"/>
      <w:szCs w:val="26"/>
    </w:rPr>
  </w:style>
  <w:style w:type="character" w:customStyle="1" w:styleId="Heading3Char">
    <w:name w:val="Heading 3 Char"/>
    <w:basedOn w:val="DefaultParagraphFont"/>
    <w:link w:val="Heading3"/>
    <w:uiPriority w:val="9"/>
    <w:rsid w:val="00773BF9"/>
    <w:rPr>
      <w:rFonts w:eastAsiaTheme="majorEastAsia" w:cstheme="majorBidi"/>
      <w:b/>
      <w:bCs/>
      <w:color w:val="1F497D" w:themeColor="text2"/>
      <w:sz w:val="24"/>
    </w:rPr>
  </w:style>
  <w:style w:type="character" w:customStyle="1" w:styleId="Heading4Char">
    <w:name w:val="Heading 4 Char"/>
    <w:basedOn w:val="DefaultParagraphFont"/>
    <w:link w:val="Heading4"/>
    <w:uiPriority w:val="9"/>
    <w:rsid w:val="00773BF9"/>
    <w:rPr>
      <w:rFonts w:asciiTheme="majorHAnsi" w:eastAsiaTheme="majorEastAsia" w:hAnsiTheme="majorHAnsi" w:cstheme="majorBidi"/>
      <w:b/>
      <w:bCs/>
      <w:i/>
      <w:iCs/>
      <w:color w:val="262626" w:themeColor="text1" w:themeTint="D9"/>
    </w:rPr>
  </w:style>
  <w:style w:type="character" w:customStyle="1" w:styleId="Heading5Char">
    <w:name w:val="Heading 5 Char"/>
    <w:basedOn w:val="DefaultParagraphFont"/>
    <w:link w:val="Heading5"/>
    <w:uiPriority w:val="9"/>
    <w:semiHidden/>
    <w:rsid w:val="00773BF9"/>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773BF9"/>
    <w:rPr>
      <w:rFonts w:asciiTheme="majorHAnsi" w:eastAsiaTheme="majorEastAsia" w:hAnsiTheme="majorHAnsi" w:cstheme="majorBidi"/>
      <w:i/>
      <w:iCs/>
      <w:color w:val="000000" w:themeColor="text1"/>
    </w:rPr>
  </w:style>
  <w:style w:type="character" w:customStyle="1" w:styleId="Heading7Char">
    <w:name w:val="Heading 7 Char"/>
    <w:basedOn w:val="DefaultParagraphFont"/>
    <w:link w:val="Heading7"/>
    <w:uiPriority w:val="9"/>
    <w:semiHidden/>
    <w:rsid w:val="00773BF9"/>
    <w:rPr>
      <w:rFonts w:asciiTheme="majorHAnsi" w:eastAsiaTheme="majorEastAsia" w:hAnsiTheme="majorHAnsi" w:cstheme="majorBidi"/>
      <w:i/>
      <w:iCs/>
      <w:color w:val="1F497D" w:themeColor="text2"/>
    </w:rPr>
  </w:style>
  <w:style w:type="character" w:customStyle="1" w:styleId="Heading8Char">
    <w:name w:val="Heading 8 Char"/>
    <w:basedOn w:val="DefaultParagraphFont"/>
    <w:link w:val="Heading8"/>
    <w:uiPriority w:val="9"/>
    <w:semiHidden/>
    <w:rsid w:val="00773BF9"/>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773BF9"/>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773BF9"/>
    <w:pPr>
      <w:spacing w:line="240" w:lineRule="auto"/>
    </w:pPr>
    <w:rPr>
      <w:rFonts w:eastAsiaTheme="minorEastAsia"/>
      <w:b/>
      <w:bCs/>
      <w:smallCaps/>
      <w:color w:val="1F497D" w:themeColor="text2"/>
      <w:spacing w:val="6"/>
      <w:szCs w:val="18"/>
      <w:lang w:bidi="hi-IN"/>
    </w:rPr>
  </w:style>
  <w:style w:type="paragraph" w:styleId="Title">
    <w:name w:val="Title"/>
    <w:basedOn w:val="Normal"/>
    <w:next w:val="Normal"/>
    <w:link w:val="TitleChar"/>
    <w:uiPriority w:val="10"/>
    <w:qFormat/>
    <w:rsid w:val="00773BF9"/>
    <w:pPr>
      <w:spacing w:after="120" w:line="240" w:lineRule="auto"/>
      <w:contextualSpacing/>
    </w:pPr>
    <w:rPr>
      <w:rFonts w:asciiTheme="majorHAnsi" w:eastAsiaTheme="majorEastAsia" w:hAnsiTheme="majorHAnsi" w:cstheme="majorBidi"/>
      <w:color w:val="1F497D" w:themeColor="text2"/>
      <w:spacing w:val="30"/>
      <w:kern w:val="28"/>
      <w:sz w:val="72"/>
      <w:szCs w:val="52"/>
    </w:rPr>
  </w:style>
  <w:style w:type="character" w:customStyle="1" w:styleId="TitleChar">
    <w:name w:val="Title Char"/>
    <w:basedOn w:val="DefaultParagraphFont"/>
    <w:link w:val="Title"/>
    <w:uiPriority w:val="10"/>
    <w:rsid w:val="00773BF9"/>
    <w:rPr>
      <w:rFonts w:asciiTheme="majorHAnsi" w:eastAsiaTheme="majorEastAsia" w:hAnsiTheme="majorHAnsi" w:cstheme="majorBidi"/>
      <w:color w:val="1F497D" w:themeColor="text2"/>
      <w:spacing w:val="30"/>
      <w:kern w:val="28"/>
      <w:sz w:val="72"/>
      <w:szCs w:val="52"/>
    </w:rPr>
  </w:style>
  <w:style w:type="paragraph" w:styleId="Subtitle">
    <w:name w:val="Subtitle"/>
    <w:basedOn w:val="Normal"/>
    <w:next w:val="Normal"/>
    <w:link w:val="SubtitleChar"/>
    <w:uiPriority w:val="11"/>
    <w:qFormat/>
    <w:rsid w:val="00773BF9"/>
    <w:pPr>
      <w:numPr>
        <w:ilvl w:val="1"/>
      </w:numPr>
    </w:pPr>
    <w:rPr>
      <w:rFonts w:eastAsiaTheme="majorEastAsia" w:cstheme="majorBidi"/>
      <w:iCs/>
      <w:color w:val="265898" w:themeColor="text2" w:themeTint="E6"/>
      <w:sz w:val="32"/>
      <w:szCs w:val="24"/>
      <w:lang w:bidi="hi-IN"/>
    </w:rPr>
  </w:style>
  <w:style w:type="character" w:customStyle="1" w:styleId="SubtitleChar">
    <w:name w:val="Subtitle Char"/>
    <w:basedOn w:val="DefaultParagraphFont"/>
    <w:link w:val="Subtitle"/>
    <w:uiPriority w:val="11"/>
    <w:rsid w:val="00773BF9"/>
    <w:rPr>
      <w:rFonts w:eastAsiaTheme="majorEastAsia" w:cstheme="majorBidi"/>
      <w:iCs/>
      <w:color w:val="265898" w:themeColor="text2" w:themeTint="E6"/>
      <w:sz w:val="32"/>
      <w:szCs w:val="24"/>
      <w:lang w:bidi="hi-IN"/>
    </w:rPr>
  </w:style>
  <w:style w:type="character" w:styleId="Strong">
    <w:name w:val="Strong"/>
    <w:basedOn w:val="DefaultParagraphFont"/>
    <w:uiPriority w:val="22"/>
    <w:qFormat/>
    <w:rsid w:val="00773BF9"/>
    <w:rPr>
      <w:b/>
      <w:bCs/>
      <w:color w:val="265898" w:themeColor="text2" w:themeTint="E6"/>
    </w:rPr>
  </w:style>
  <w:style w:type="character" w:styleId="Emphasis">
    <w:name w:val="Emphasis"/>
    <w:basedOn w:val="DefaultParagraphFont"/>
    <w:uiPriority w:val="20"/>
    <w:qFormat/>
    <w:rsid w:val="00773BF9"/>
    <w:rPr>
      <w:b w:val="0"/>
      <w:i/>
      <w:iCs/>
      <w:color w:val="1F497D" w:themeColor="text2"/>
    </w:rPr>
  </w:style>
  <w:style w:type="paragraph" w:styleId="NoSpacing">
    <w:name w:val="No Spacing"/>
    <w:link w:val="NoSpacingChar"/>
    <w:uiPriority w:val="1"/>
    <w:qFormat/>
    <w:rsid w:val="00773BF9"/>
    <w:pPr>
      <w:spacing w:after="0" w:line="240" w:lineRule="auto"/>
    </w:pPr>
  </w:style>
  <w:style w:type="paragraph" w:styleId="ListParagraph">
    <w:name w:val="List Paragraph"/>
    <w:basedOn w:val="Normal"/>
    <w:uiPriority w:val="34"/>
    <w:qFormat/>
    <w:rsid w:val="00773BF9"/>
    <w:pPr>
      <w:spacing w:line="240" w:lineRule="auto"/>
      <w:ind w:left="720" w:hanging="288"/>
      <w:contextualSpacing/>
    </w:pPr>
    <w:rPr>
      <w:color w:val="1F497D" w:themeColor="text2"/>
    </w:rPr>
  </w:style>
  <w:style w:type="paragraph" w:styleId="Quote">
    <w:name w:val="Quote"/>
    <w:basedOn w:val="Normal"/>
    <w:next w:val="Normal"/>
    <w:link w:val="QuoteChar"/>
    <w:uiPriority w:val="29"/>
    <w:qFormat/>
    <w:rsid w:val="00773BF9"/>
    <w:pPr>
      <w:pBdr>
        <w:left w:val="single" w:sz="48" w:space="13" w:color="4F81BD" w:themeColor="accent1"/>
      </w:pBdr>
      <w:spacing w:after="0" w:line="360" w:lineRule="auto"/>
    </w:pPr>
    <w:rPr>
      <w:rFonts w:asciiTheme="majorHAnsi" w:eastAsiaTheme="minorEastAsia" w:hAnsiTheme="majorHAnsi"/>
      <w:b/>
      <w:i/>
      <w:iCs/>
      <w:color w:val="4F81BD" w:themeColor="accent1"/>
      <w:sz w:val="24"/>
      <w:lang w:bidi="hi-IN"/>
    </w:rPr>
  </w:style>
  <w:style w:type="character" w:customStyle="1" w:styleId="QuoteChar">
    <w:name w:val="Quote Char"/>
    <w:basedOn w:val="DefaultParagraphFont"/>
    <w:link w:val="Quote"/>
    <w:uiPriority w:val="29"/>
    <w:rsid w:val="00773BF9"/>
    <w:rPr>
      <w:rFonts w:asciiTheme="majorHAnsi" w:eastAsiaTheme="minorEastAsia" w:hAnsiTheme="majorHAnsi"/>
      <w:b/>
      <w:i/>
      <w:iCs/>
      <w:color w:val="4F81BD" w:themeColor="accent1"/>
      <w:sz w:val="24"/>
      <w:lang w:bidi="hi-IN"/>
    </w:rPr>
  </w:style>
  <w:style w:type="paragraph" w:styleId="IntenseQuote">
    <w:name w:val="Intense Quote"/>
    <w:basedOn w:val="Normal"/>
    <w:next w:val="Normal"/>
    <w:link w:val="IntenseQuoteChar"/>
    <w:uiPriority w:val="30"/>
    <w:qFormat/>
    <w:rsid w:val="00773BF9"/>
    <w:pPr>
      <w:pBdr>
        <w:left w:val="single" w:sz="48" w:space="13" w:color="C0504D" w:themeColor="accent2"/>
      </w:pBdr>
      <w:spacing w:before="240" w:after="120" w:line="300" w:lineRule="auto"/>
    </w:pPr>
    <w:rPr>
      <w:rFonts w:eastAsiaTheme="minorEastAsia"/>
      <w:b/>
      <w:bCs/>
      <w:i/>
      <w:iCs/>
      <w:color w:val="C0504D" w:themeColor="accent2"/>
      <w:sz w:val="26"/>
      <w:lang w:bidi="hi-IN"/>
    </w:rPr>
  </w:style>
  <w:style w:type="character" w:customStyle="1" w:styleId="IntenseQuoteChar">
    <w:name w:val="Intense Quote Char"/>
    <w:basedOn w:val="DefaultParagraphFont"/>
    <w:link w:val="IntenseQuote"/>
    <w:uiPriority w:val="30"/>
    <w:rsid w:val="00773BF9"/>
    <w:rPr>
      <w:rFonts w:eastAsiaTheme="minorEastAsia"/>
      <w:b/>
      <w:bCs/>
      <w:i/>
      <w:iCs/>
      <w:color w:val="C0504D" w:themeColor="accent2"/>
      <w:sz w:val="26"/>
      <w:lang w:bidi="hi-IN"/>
    </w:rPr>
  </w:style>
  <w:style w:type="character" w:styleId="SubtleEmphasis">
    <w:name w:val="Subtle Emphasis"/>
    <w:basedOn w:val="DefaultParagraphFont"/>
    <w:uiPriority w:val="19"/>
    <w:qFormat/>
    <w:rsid w:val="00773BF9"/>
    <w:rPr>
      <w:i/>
      <w:iCs/>
      <w:color w:val="000000"/>
    </w:rPr>
  </w:style>
  <w:style w:type="character" w:styleId="IntenseEmphasis">
    <w:name w:val="Intense Emphasis"/>
    <w:basedOn w:val="DefaultParagraphFont"/>
    <w:uiPriority w:val="21"/>
    <w:qFormat/>
    <w:rsid w:val="00773BF9"/>
    <w:rPr>
      <w:b/>
      <w:bCs/>
      <w:i/>
      <w:iCs/>
      <w:color w:val="1F497D" w:themeColor="text2"/>
    </w:rPr>
  </w:style>
  <w:style w:type="character" w:styleId="SubtleReference">
    <w:name w:val="Subtle Reference"/>
    <w:basedOn w:val="DefaultParagraphFont"/>
    <w:uiPriority w:val="31"/>
    <w:qFormat/>
    <w:rsid w:val="00773BF9"/>
    <w:rPr>
      <w:smallCaps/>
      <w:color w:val="000000"/>
      <w:u w:val="single"/>
    </w:rPr>
  </w:style>
  <w:style w:type="character" w:styleId="IntenseReference">
    <w:name w:val="Intense Reference"/>
    <w:basedOn w:val="DefaultParagraphFont"/>
    <w:uiPriority w:val="32"/>
    <w:qFormat/>
    <w:rsid w:val="00773BF9"/>
    <w:rPr>
      <w:rFonts w:asciiTheme="minorHAnsi" w:hAnsiTheme="minorHAnsi"/>
      <w:b/>
      <w:bCs/>
      <w:smallCaps/>
      <w:color w:val="1F497D" w:themeColor="text2"/>
      <w:spacing w:val="5"/>
      <w:sz w:val="22"/>
      <w:u w:val="single"/>
    </w:rPr>
  </w:style>
  <w:style w:type="character" w:styleId="BookTitle">
    <w:name w:val="Book Title"/>
    <w:basedOn w:val="DefaultParagraphFont"/>
    <w:uiPriority w:val="33"/>
    <w:qFormat/>
    <w:rsid w:val="00773BF9"/>
    <w:rPr>
      <w:rFonts w:asciiTheme="majorHAnsi" w:hAnsiTheme="majorHAnsi"/>
      <w:b/>
      <w:bCs/>
      <w:caps w:val="0"/>
      <w:smallCaps/>
      <w:color w:val="1F497D" w:themeColor="text2"/>
      <w:spacing w:val="10"/>
      <w:sz w:val="22"/>
    </w:rPr>
  </w:style>
  <w:style w:type="paragraph" w:styleId="TOCHeading">
    <w:name w:val="TOC Heading"/>
    <w:basedOn w:val="Heading1"/>
    <w:next w:val="Normal"/>
    <w:uiPriority w:val="39"/>
    <w:semiHidden/>
    <w:unhideWhenUsed/>
    <w:qFormat/>
    <w:rsid w:val="00773BF9"/>
    <w:pPr>
      <w:spacing w:before="480" w:line="264" w:lineRule="auto"/>
      <w:outlineLvl w:val="9"/>
    </w:pPr>
    <w:rPr>
      <w:b/>
    </w:rPr>
  </w:style>
  <w:style w:type="character" w:customStyle="1" w:styleId="NoSpacingChar">
    <w:name w:val="No Spacing Char"/>
    <w:basedOn w:val="DefaultParagraphFont"/>
    <w:link w:val="NoSpacing"/>
    <w:uiPriority w:val="1"/>
    <w:rsid w:val="00773BF9"/>
  </w:style>
  <w:style w:type="paragraph" w:customStyle="1" w:styleId="PersonalName">
    <w:name w:val="Personal Name"/>
    <w:basedOn w:val="Title"/>
    <w:qFormat/>
    <w:rsid w:val="00773BF9"/>
    <w:rPr>
      <w:b/>
      <w:caps/>
      <w:color w:val="000000"/>
      <w:sz w:val="28"/>
      <w:szCs w:val="28"/>
    </w:rPr>
  </w:style>
  <w:style w:type="table" w:styleId="TableGrid">
    <w:name w:val="Table Grid"/>
    <w:basedOn w:val="TableNormal"/>
    <w:uiPriority w:val="59"/>
    <w:rsid w:val="00773B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2">
    <w:name w:val="Light Shading Accent 2"/>
    <w:basedOn w:val="TableNormal"/>
    <w:uiPriority w:val="60"/>
    <w:rsid w:val="00773BF9"/>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11">
    <w:name w:val="Light Shading - Accent 11"/>
    <w:basedOn w:val="TableNormal"/>
    <w:uiPriority w:val="60"/>
    <w:rsid w:val="00773BF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MediumShading1-Accent11">
    <w:name w:val="Medium Shading 1 - Accent 11"/>
    <w:basedOn w:val="TableNormal"/>
    <w:uiPriority w:val="63"/>
    <w:rsid w:val="00773BF9"/>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Grid-Accent5">
    <w:name w:val="Light Grid Accent 5"/>
    <w:basedOn w:val="TableNormal"/>
    <w:uiPriority w:val="62"/>
    <w:rsid w:val="00773BF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Accent11">
    <w:name w:val="Light Grid - Accent 11"/>
    <w:basedOn w:val="TableNormal"/>
    <w:uiPriority w:val="62"/>
    <w:rsid w:val="00773BF9"/>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MediumShading11">
    <w:name w:val="Medium Shading 11"/>
    <w:basedOn w:val="TableNormal"/>
    <w:uiPriority w:val="63"/>
    <w:rsid w:val="00A3297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LightGrid1">
    <w:name w:val="Light Grid1"/>
    <w:basedOn w:val="TableNormal"/>
    <w:uiPriority w:val="62"/>
    <w:rsid w:val="00A3297A"/>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FootnoteText">
    <w:name w:val="footnote text"/>
    <w:basedOn w:val="Normal"/>
    <w:link w:val="FootnoteTextChar"/>
    <w:uiPriority w:val="99"/>
    <w:unhideWhenUsed/>
    <w:rsid w:val="00E012B9"/>
    <w:pPr>
      <w:spacing w:after="0" w:line="240" w:lineRule="auto"/>
    </w:pPr>
    <w:rPr>
      <w:sz w:val="24"/>
      <w:szCs w:val="24"/>
    </w:rPr>
  </w:style>
  <w:style w:type="character" w:customStyle="1" w:styleId="FootnoteTextChar">
    <w:name w:val="Footnote Text Char"/>
    <w:basedOn w:val="DefaultParagraphFont"/>
    <w:link w:val="FootnoteText"/>
    <w:uiPriority w:val="99"/>
    <w:rsid w:val="00E012B9"/>
    <w:rPr>
      <w:sz w:val="24"/>
      <w:szCs w:val="24"/>
    </w:rPr>
  </w:style>
  <w:style w:type="character" w:styleId="FootnoteReference">
    <w:name w:val="footnote reference"/>
    <w:basedOn w:val="DefaultParagraphFont"/>
    <w:uiPriority w:val="99"/>
    <w:unhideWhenUsed/>
    <w:rsid w:val="00E012B9"/>
    <w:rPr>
      <w:vertAlign w:val="superscript"/>
    </w:rPr>
  </w:style>
  <w:style w:type="table" w:customStyle="1" w:styleId="LightShading1">
    <w:name w:val="Light Shading1"/>
    <w:basedOn w:val="TableNormal"/>
    <w:uiPriority w:val="60"/>
    <w:rsid w:val="00223704"/>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D148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48E5"/>
    <w:rPr>
      <w:rFonts w:ascii="Tahoma" w:hAnsi="Tahoma" w:cs="Tahoma"/>
      <w:sz w:val="16"/>
      <w:szCs w:val="16"/>
    </w:rPr>
  </w:style>
  <w:style w:type="character" w:styleId="CommentReference">
    <w:name w:val="annotation reference"/>
    <w:basedOn w:val="DefaultParagraphFont"/>
    <w:uiPriority w:val="99"/>
    <w:semiHidden/>
    <w:unhideWhenUsed/>
    <w:rsid w:val="003820A2"/>
    <w:rPr>
      <w:sz w:val="16"/>
      <w:szCs w:val="16"/>
    </w:rPr>
  </w:style>
  <w:style w:type="paragraph" w:styleId="CommentText">
    <w:name w:val="annotation text"/>
    <w:basedOn w:val="Normal"/>
    <w:link w:val="CommentTextChar"/>
    <w:uiPriority w:val="99"/>
    <w:semiHidden/>
    <w:unhideWhenUsed/>
    <w:rsid w:val="003820A2"/>
    <w:pPr>
      <w:spacing w:line="240" w:lineRule="auto"/>
    </w:pPr>
    <w:rPr>
      <w:sz w:val="20"/>
      <w:szCs w:val="20"/>
    </w:rPr>
  </w:style>
  <w:style w:type="character" w:customStyle="1" w:styleId="CommentTextChar">
    <w:name w:val="Comment Text Char"/>
    <w:basedOn w:val="DefaultParagraphFont"/>
    <w:link w:val="CommentText"/>
    <w:uiPriority w:val="99"/>
    <w:semiHidden/>
    <w:rsid w:val="003820A2"/>
    <w:rPr>
      <w:sz w:val="20"/>
      <w:szCs w:val="20"/>
    </w:rPr>
  </w:style>
  <w:style w:type="paragraph" w:styleId="CommentSubject">
    <w:name w:val="annotation subject"/>
    <w:basedOn w:val="CommentText"/>
    <w:next w:val="CommentText"/>
    <w:link w:val="CommentSubjectChar"/>
    <w:uiPriority w:val="99"/>
    <w:semiHidden/>
    <w:unhideWhenUsed/>
    <w:rsid w:val="003820A2"/>
    <w:rPr>
      <w:b/>
      <w:bCs/>
    </w:rPr>
  </w:style>
  <w:style w:type="character" w:customStyle="1" w:styleId="CommentSubjectChar">
    <w:name w:val="Comment Subject Char"/>
    <w:basedOn w:val="CommentTextChar"/>
    <w:link w:val="CommentSubject"/>
    <w:uiPriority w:val="99"/>
    <w:semiHidden/>
    <w:rsid w:val="003820A2"/>
    <w:rPr>
      <w:b/>
      <w:bCs/>
      <w:sz w:val="20"/>
      <w:szCs w:val="20"/>
    </w:rPr>
  </w:style>
  <w:style w:type="paragraph" w:styleId="Header">
    <w:name w:val="header"/>
    <w:basedOn w:val="Normal"/>
    <w:link w:val="HeaderChar"/>
    <w:uiPriority w:val="99"/>
    <w:unhideWhenUsed/>
    <w:rsid w:val="004F24E2"/>
    <w:pPr>
      <w:tabs>
        <w:tab w:val="center" w:pos="4536"/>
        <w:tab w:val="right" w:pos="9072"/>
      </w:tabs>
      <w:spacing w:after="0" w:line="240" w:lineRule="auto"/>
    </w:pPr>
  </w:style>
  <w:style w:type="character" w:customStyle="1" w:styleId="HeaderChar">
    <w:name w:val="Header Char"/>
    <w:basedOn w:val="DefaultParagraphFont"/>
    <w:link w:val="Header"/>
    <w:uiPriority w:val="99"/>
    <w:rsid w:val="004F24E2"/>
  </w:style>
  <w:style w:type="paragraph" w:styleId="Footer">
    <w:name w:val="footer"/>
    <w:basedOn w:val="Normal"/>
    <w:link w:val="FooterChar"/>
    <w:uiPriority w:val="99"/>
    <w:unhideWhenUsed/>
    <w:rsid w:val="004F24E2"/>
    <w:pPr>
      <w:tabs>
        <w:tab w:val="center" w:pos="4536"/>
        <w:tab w:val="right" w:pos="9072"/>
      </w:tabs>
      <w:spacing w:after="0" w:line="240" w:lineRule="auto"/>
    </w:pPr>
  </w:style>
  <w:style w:type="character" w:customStyle="1" w:styleId="FooterChar">
    <w:name w:val="Footer Char"/>
    <w:basedOn w:val="DefaultParagraphFont"/>
    <w:link w:val="Footer"/>
    <w:uiPriority w:val="99"/>
    <w:rsid w:val="004F24E2"/>
  </w:style>
  <w:style w:type="character" w:customStyle="1" w:styleId="apple-converted-space">
    <w:name w:val="apple-converted-space"/>
    <w:basedOn w:val="DefaultParagraphFont"/>
    <w:rsid w:val="00382FC1"/>
  </w:style>
  <w:style w:type="character" w:customStyle="1" w:styleId="il">
    <w:name w:val="il"/>
    <w:basedOn w:val="DefaultParagraphFont"/>
    <w:rsid w:val="00F7293C"/>
  </w:style>
  <w:style w:type="table" w:styleId="LightGrid">
    <w:name w:val="Light Grid"/>
    <w:basedOn w:val="TableNormal"/>
    <w:uiPriority w:val="62"/>
    <w:rsid w:val="00F7293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Grid1-Accent1">
    <w:name w:val="Medium Grid 1 Accent 1"/>
    <w:basedOn w:val="TableNormal"/>
    <w:uiPriority w:val="67"/>
    <w:rsid w:val="00F7293C"/>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F7293C"/>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Shading1">
    <w:name w:val="Medium Shading 1"/>
    <w:basedOn w:val="TableNormal"/>
    <w:uiPriority w:val="63"/>
    <w:rsid w:val="00F7293C"/>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BF9"/>
    <w:pPr>
      <w:spacing w:after="180" w:line="274" w:lineRule="auto"/>
    </w:pPr>
  </w:style>
  <w:style w:type="paragraph" w:styleId="Heading1">
    <w:name w:val="heading 1"/>
    <w:basedOn w:val="Normal"/>
    <w:next w:val="Normal"/>
    <w:link w:val="Heading1Char"/>
    <w:uiPriority w:val="9"/>
    <w:qFormat/>
    <w:rsid w:val="00773BF9"/>
    <w:pPr>
      <w:keepNext/>
      <w:keepLines/>
      <w:spacing w:before="360" w:after="0" w:line="240" w:lineRule="auto"/>
      <w:outlineLvl w:val="0"/>
    </w:pPr>
    <w:rPr>
      <w:rFonts w:asciiTheme="majorHAnsi" w:eastAsiaTheme="majorEastAsia" w:hAnsiTheme="majorHAnsi" w:cstheme="majorBidi"/>
      <w:bCs/>
      <w:color w:val="1F497D" w:themeColor="text2"/>
      <w:sz w:val="32"/>
      <w:szCs w:val="28"/>
    </w:rPr>
  </w:style>
  <w:style w:type="paragraph" w:styleId="Heading2">
    <w:name w:val="heading 2"/>
    <w:basedOn w:val="Normal"/>
    <w:next w:val="Normal"/>
    <w:link w:val="Heading2Char"/>
    <w:uiPriority w:val="9"/>
    <w:unhideWhenUsed/>
    <w:qFormat/>
    <w:rsid w:val="00773BF9"/>
    <w:pPr>
      <w:keepNext/>
      <w:keepLines/>
      <w:spacing w:before="120" w:after="0" w:line="240" w:lineRule="auto"/>
      <w:outlineLvl w:val="1"/>
    </w:pPr>
    <w:rPr>
      <w:rFonts w:asciiTheme="majorHAnsi" w:eastAsiaTheme="majorEastAsia" w:hAnsiTheme="majorHAnsi" w:cstheme="majorBidi"/>
      <w:b/>
      <w:bCs/>
      <w:color w:val="9BBB59" w:themeColor="accent3"/>
      <w:sz w:val="28"/>
      <w:szCs w:val="26"/>
    </w:rPr>
  </w:style>
  <w:style w:type="paragraph" w:styleId="Heading3">
    <w:name w:val="heading 3"/>
    <w:basedOn w:val="Normal"/>
    <w:next w:val="Normal"/>
    <w:link w:val="Heading3Char"/>
    <w:uiPriority w:val="9"/>
    <w:unhideWhenUsed/>
    <w:qFormat/>
    <w:rsid w:val="00773BF9"/>
    <w:pPr>
      <w:keepNext/>
      <w:keepLines/>
      <w:spacing w:before="20" w:after="0" w:line="240" w:lineRule="auto"/>
      <w:outlineLvl w:val="2"/>
    </w:pPr>
    <w:rPr>
      <w:rFonts w:eastAsiaTheme="majorEastAsia" w:cstheme="majorBidi"/>
      <w:b/>
      <w:bCs/>
      <w:color w:val="1F497D" w:themeColor="text2"/>
      <w:sz w:val="24"/>
    </w:rPr>
  </w:style>
  <w:style w:type="paragraph" w:styleId="Heading4">
    <w:name w:val="heading 4"/>
    <w:basedOn w:val="Normal"/>
    <w:next w:val="Normal"/>
    <w:link w:val="Heading4Char"/>
    <w:uiPriority w:val="9"/>
    <w:unhideWhenUsed/>
    <w:qFormat/>
    <w:rsid w:val="00773BF9"/>
    <w:pPr>
      <w:keepNext/>
      <w:keepLines/>
      <w:spacing w:before="200" w:after="0"/>
      <w:outlineLvl w:val="3"/>
    </w:pPr>
    <w:rPr>
      <w:rFonts w:asciiTheme="majorHAnsi" w:eastAsiaTheme="majorEastAsia" w:hAnsiTheme="majorHAnsi" w:cstheme="majorBidi"/>
      <w:b/>
      <w:bCs/>
      <w:i/>
      <w:iCs/>
      <w:color w:val="262626" w:themeColor="text1" w:themeTint="D9"/>
    </w:rPr>
  </w:style>
  <w:style w:type="paragraph" w:styleId="Heading5">
    <w:name w:val="heading 5"/>
    <w:basedOn w:val="Normal"/>
    <w:next w:val="Normal"/>
    <w:link w:val="Heading5Char"/>
    <w:uiPriority w:val="9"/>
    <w:semiHidden/>
    <w:unhideWhenUsed/>
    <w:qFormat/>
    <w:rsid w:val="00773BF9"/>
    <w:pPr>
      <w:keepNext/>
      <w:keepLines/>
      <w:spacing w:before="200" w:after="0"/>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semiHidden/>
    <w:unhideWhenUsed/>
    <w:qFormat/>
    <w:rsid w:val="00773BF9"/>
    <w:pPr>
      <w:keepNext/>
      <w:keepLines/>
      <w:spacing w:before="200" w:after="0"/>
      <w:outlineLvl w:val="5"/>
    </w:pPr>
    <w:rPr>
      <w:rFonts w:asciiTheme="majorHAnsi" w:eastAsiaTheme="majorEastAsia" w:hAnsiTheme="majorHAnsi" w:cstheme="majorBidi"/>
      <w:i/>
      <w:iCs/>
      <w:color w:val="000000" w:themeColor="text1"/>
    </w:rPr>
  </w:style>
  <w:style w:type="paragraph" w:styleId="Heading7">
    <w:name w:val="heading 7"/>
    <w:basedOn w:val="Normal"/>
    <w:next w:val="Normal"/>
    <w:link w:val="Heading7Char"/>
    <w:uiPriority w:val="9"/>
    <w:semiHidden/>
    <w:unhideWhenUsed/>
    <w:qFormat/>
    <w:rsid w:val="00773BF9"/>
    <w:pPr>
      <w:keepNext/>
      <w:keepLines/>
      <w:spacing w:before="200" w:after="0"/>
      <w:outlineLvl w:val="6"/>
    </w:pPr>
    <w:rPr>
      <w:rFonts w:asciiTheme="majorHAnsi" w:eastAsiaTheme="majorEastAsia" w:hAnsiTheme="majorHAnsi" w:cstheme="majorBidi"/>
      <w:i/>
      <w:iCs/>
      <w:color w:val="1F497D" w:themeColor="text2"/>
    </w:rPr>
  </w:style>
  <w:style w:type="paragraph" w:styleId="Heading8">
    <w:name w:val="heading 8"/>
    <w:basedOn w:val="Normal"/>
    <w:next w:val="Normal"/>
    <w:link w:val="Heading8Char"/>
    <w:uiPriority w:val="9"/>
    <w:semiHidden/>
    <w:unhideWhenUsed/>
    <w:qFormat/>
    <w:rsid w:val="00773BF9"/>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773BF9"/>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3BF9"/>
    <w:rPr>
      <w:rFonts w:asciiTheme="majorHAnsi" w:eastAsiaTheme="majorEastAsia" w:hAnsiTheme="majorHAnsi" w:cstheme="majorBidi"/>
      <w:bCs/>
      <w:color w:val="1F497D" w:themeColor="text2"/>
      <w:sz w:val="32"/>
      <w:szCs w:val="28"/>
    </w:rPr>
  </w:style>
  <w:style w:type="character" w:customStyle="1" w:styleId="Heading2Char">
    <w:name w:val="Heading 2 Char"/>
    <w:basedOn w:val="DefaultParagraphFont"/>
    <w:link w:val="Heading2"/>
    <w:uiPriority w:val="9"/>
    <w:rsid w:val="00773BF9"/>
    <w:rPr>
      <w:rFonts w:asciiTheme="majorHAnsi" w:eastAsiaTheme="majorEastAsia" w:hAnsiTheme="majorHAnsi" w:cstheme="majorBidi"/>
      <w:b/>
      <w:bCs/>
      <w:color w:val="9BBB59" w:themeColor="accent3"/>
      <w:sz w:val="28"/>
      <w:szCs w:val="26"/>
    </w:rPr>
  </w:style>
  <w:style w:type="character" w:customStyle="1" w:styleId="Heading3Char">
    <w:name w:val="Heading 3 Char"/>
    <w:basedOn w:val="DefaultParagraphFont"/>
    <w:link w:val="Heading3"/>
    <w:uiPriority w:val="9"/>
    <w:rsid w:val="00773BF9"/>
    <w:rPr>
      <w:rFonts w:eastAsiaTheme="majorEastAsia" w:cstheme="majorBidi"/>
      <w:b/>
      <w:bCs/>
      <w:color w:val="1F497D" w:themeColor="text2"/>
      <w:sz w:val="24"/>
    </w:rPr>
  </w:style>
  <w:style w:type="character" w:customStyle="1" w:styleId="Heading4Char">
    <w:name w:val="Heading 4 Char"/>
    <w:basedOn w:val="DefaultParagraphFont"/>
    <w:link w:val="Heading4"/>
    <w:uiPriority w:val="9"/>
    <w:rsid w:val="00773BF9"/>
    <w:rPr>
      <w:rFonts w:asciiTheme="majorHAnsi" w:eastAsiaTheme="majorEastAsia" w:hAnsiTheme="majorHAnsi" w:cstheme="majorBidi"/>
      <w:b/>
      <w:bCs/>
      <w:i/>
      <w:iCs/>
      <w:color w:val="262626" w:themeColor="text1" w:themeTint="D9"/>
    </w:rPr>
  </w:style>
  <w:style w:type="character" w:customStyle="1" w:styleId="Heading5Char">
    <w:name w:val="Heading 5 Char"/>
    <w:basedOn w:val="DefaultParagraphFont"/>
    <w:link w:val="Heading5"/>
    <w:uiPriority w:val="9"/>
    <w:semiHidden/>
    <w:rsid w:val="00773BF9"/>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773BF9"/>
    <w:rPr>
      <w:rFonts w:asciiTheme="majorHAnsi" w:eastAsiaTheme="majorEastAsia" w:hAnsiTheme="majorHAnsi" w:cstheme="majorBidi"/>
      <w:i/>
      <w:iCs/>
      <w:color w:val="000000" w:themeColor="text1"/>
    </w:rPr>
  </w:style>
  <w:style w:type="character" w:customStyle="1" w:styleId="Heading7Char">
    <w:name w:val="Heading 7 Char"/>
    <w:basedOn w:val="DefaultParagraphFont"/>
    <w:link w:val="Heading7"/>
    <w:uiPriority w:val="9"/>
    <w:semiHidden/>
    <w:rsid w:val="00773BF9"/>
    <w:rPr>
      <w:rFonts w:asciiTheme="majorHAnsi" w:eastAsiaTheme="majorEastAsia" w:hAnsiTheme="majorHAnsi" w:cstheme="majorBidi"/>
      <w:i/>
      <w:iCs/>
      <w:color w:val="1F497D" w:themeColor="text2"/>
    </w:rPr>
  </w:style>
  <w:style w:type="character" w:customStyle="1" w:styleId="Heading8Char">
    <w:name w:val="Heading 8 Char"/>
    <w:basedOn w:val="DefaultParagraphFont"/>
    <w:link w:val="Heading8"/>
    <w:uiPriority w:val="9"/>
    <w:semiHidden/>
    <w:rsid w:val="00773BF9"/>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773BF9"/>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773BF9"/>
    <w:pPr>
      <w:spacing w:line="240" w:lineRule="auto"/>
    </w:pPr>
    <w:rPr>
      <w:rFonts w:eastAsiaTheme="minorEastAsia"/>
      <w:b/>
      <w:bCs/>
      <w:smallCaps/>
      <w:color w:val="1F497D" w:themeColor="text2"/>
      <w:spacing w:val="6"/>
      <w:szCs w:val="18"/>
      <w:lang w:bidi="hi-IN"/>
    </w:rPr>
  </w:style>
  <w:style w:type="paragraph" w:styleId="Title">
    <w:name w:val="Title"/>
    <w:basedOn w:val="Normal"/>
    <w:next w:val="Normal"/>
    <w:link w:val="TitleChar"/>
    <w:uiPriority w:val="10"/>
    <w:qFormat/>
    <w:rsid w:val="00773BF9"/>
    <w:pPr>
      <w:spacing w:after="120" w:line="240" w:lineRule="auto"/>
      <w:contextualSpacing/>
    </w:pPr>
    <w:rPr>
      <w:rFonts w:asciiTheme="majorHAnsi" w:eastAsiaTheme="majorEastAsia" w:hAnsiTheme="majorHAnsi" w:cstheme="majorBidi"/>
      <w:color w:val="1F497D" w:themeColor="text2"/>
      <w:spacing w:val="30"/>
      <w:kern w:val="28"/>
      <w:sz w:val="72"/>
      <w:szCs w:val="52"/>
    </w:rPr>
  </w:style>
  <w:style w:type="character" w:customStyle="1" w:styleId="TitleChar">
    <w:name w:val="Title Char"/>
    <w:basedOn w:val="DefaultParagraphFont"/>
    <w:link w:val="Title"/>
    <w:uiPriority w:val="10"/>
    <w:rsid w:val="00773BF9"/>
    <w:rPr>
      <w:rFonts w:asciiTheme="majorHAnsi" w:eastAsiaTheme="majorEastAsia" w:hAnsiTheme="majorHAnsi" w:cstheme="majorBidi"/>
      <w:color w:val="1F497D" w:themeColor="text2"/>
      <w:spacing w:val="30"/>
      <w:kern w:val="28"/>
      <w:sz w:val="72"/>
      <w:szCs w:val="52"/>
    </w:rPr>
  </w:style>
  <w:style w:type="paragraph" w:styleId="Subtitle">
    <w:name w:val="Subtitle"/>
    <w:basedOn w:val="Normal"/>
    <w:next w:val="Normal"/>
    <w:link w:val="SubtitleChar"/>
    <w:uiPriority w:val="11"/>
    <w:qFormat/>
    <w:rsid w:val="00773BF9"/>
    <w:pPr>
      <w:numPr>
        <w:ilvl w:val="1"/>
      </w:numPr>
    </w:pPr>
    <w:rPr>
      <w:rFonts w:eastAsiaTheme="majorEastAsia" w:cstheme="majorBidi"/>
      <w:iCs/>
      <w:color w:val="265898" w:themeColor="text2" w:themeTint="E6"/>
      <w:sz w:val="32"/>
      <w:szCs w:val="24"/>
      <w:lang w:bidi="hi-IN"/>
    </w:rPr>
  </w:style>
  <w:style w:type="character" w:customStyle="1" w:styleId="SubtitleChar">
    <w:name w:val="Subtitle Char"/>
    <w:basedOn w:val="DefaultParagraphFont"/>
    <w:link w:val="Subtitle"/>
    <w:uiPriority w:val="11"/>
    <w:rsid w:val="00773BF9"/>
    <w:rPr>
      <w:rFonts w:eastAsiaTheme="majorEastAsia" w:cstheme="majorBidi"/>
      <w:iCs/>
      <w:color w:val="265898" w:themeColor="text2" w:themeTint="E6"/>
      <w:sz w:val="32"/>
      <w:szCs w:val="24"/>
      <w:lang w:bidi="hi-IN"/>
    </w:rPr>
  </w:style>
  <w:style w:type="character" w:styleId="Strong">
    <w:name w:val="Strong"/>
    <w:basedOn w:val="DefaultParagraphFont"/>
    <w:uiPriority w:val="22"/>
    <w:qFormat/>
    <w:rsid w:val="00773BF9"/>
    <w:rPr>
      <w:b/>
      <w:bCs/>
      <w:color w:val="265898" w:themeColor="text2" w:themeTint="E6"/>
    </w:rPr>
  </w:style>
  <w:style w:type="character" w:styleId="Emphasis">
    <w:name w:val="Emphasis"/>
    <w:basedOn w:val="DefaultParagraphFont"/>
    <w:uiPriority w:val="20"/>
    <w:qFormat/>
    <w:rsid w:val="00773BF9"/>
    <w:rPr>
      <w:b w:val="0"/>
      <w:i/>
      <w:iCs/>
      <w:color w:val="1F497D" w:themeColor="text2"/>
    </w:rPr>
  </w:style>
  <w:style w:type="paragraph" w:styleId="NoSpacing">
    <w:name w:val="No Spacing"/>
    <w:link w:val="NoSpacingChar"/>
    <w:uiPriority w:val="1"/>
    <w:qFormat/>
    <w:rsid w:val="00773BF9"/>
    <w:pPr>
      <w:spacing w:after="0" w:line="240" w:lineRule="auto"/>
    </w:pPr>
  </w:style>
  <w:style w:type="paragraph" w:styleId="ListParagraph">
    <w:name w:val="List Paragraph"/>
    <w:basedOn w:val="Normal"/>
    <w:uiPriority w:val="34"/>
    <w:qFormat/>
    <w:rsid w:val="00773BF9"/>
    <w:pPr>
      <w:spacing w:line="240" w:lineRule="auto"/>
      <w:ind w:left="720" w:hanging="288"/>
      <w:contextualSpacing/>
    </w:pPr>
    <w:rPr>
      <w:color w:val="1F497D" w:themeColor="text2"/>
    </w:rPr>
  </w:style>
  <w:style w:type="paragraph" w:styleId="Quote">
    <w:name w:val="Quote"/>
    <w:basedOn w:val="Normal"/>
    <w:next w:val="Normal"/>
    <w:link w:val="QuoteChar"/>
    <w:uiPriority w:val="29"/>
    <w:qFormat/>
    <w:rsid w:val="00773BF9"/>
    <w:pPr>
      <w:pBdr>
        <w:left w:val="single" w:sz="48" w:space="13" w:color="4F81BD" w:themeColor="accent1"/>
      </w:pBdr>
      <w:spacing w:after="0" w:line="360" w:lineRule="auto"/>
    </w:pPr>
    <w:rPr>
      <w:rFonts w:asciiTheme="majorHAnsi" w:eastAsiaTheme="minorEastAsia" w:hAnsiTheme="majorHAnsi"/>
      <w:b/>
      <w:i/>
      <w:iCs/>
      <w:color w:val="4F81BD" w:themeColor="accent1"/>
      <w:sz w:val="24"/>
      <w:lang w:bidi="hi-IN"/>
    </w:rPr>
  </w:style>
  <w:style w:type="character" w:customStyle="1" w:styleId="QuoteChar">
    <w:name w:val="Quote Char"/>
    <w:basedOn w:val="DefaultParagraphFont"/>
    <w:link w:val="Quote"/>
    <w:uiPriority w:val="29"/>
    <w:rsid w:val="00773BF9"/>
    <w:rPr>
      <w:rFonts w:asciiTheme="majorHAnsi" w:eastAsiaTheme="minorEastAsia" w:hAnsiTheme="majorHAnsi"/>
      <w:b/>
      <w:i/>
      <w:iCs/>
      <w:color w:val="4F81BD" w:themeColor="accent1"/>
      <w:sz w:val="24"/>
      <w:lang w:bidi="hi-IN"/>
    </w:rPr>
  </w:style>
  <w:style w:type="paragraph" w:styleId="IntenseQuote">
    <w:name w:val="Intense Quote"/>
    <w:basedOn w:val="Normal"/>
    <w:next w:val="Normal"/>
    <w:link w:val="IntenseQuoteChar"/>
    <w:uiPriority w:val="30"/>
    <w:qFormat/>
    <w:rsid w:val="00773BF9"/>
    <w:pPr>
      <w:pBdr>
        <w:left w:val="single" w:sz="48" w:space="13" w:color="C0504D" w:themeColor="accent2"/>
      </w:pBdr>
      <w:spacing w:before="240" w:after="120" w:line="300" w:lineRule="auto"/>
    </w:pPr>
    <w:rPr>
      <w:rFonts w:eastAsiaTheme="minorEastAsia"/>
      <w:b/>
      <w:bCs/>
      <w:i/>
      <w:iCs/>
      <w:color w:val="C0504D" w:themeColor="accent2"/>
      <w:sz w:val="26"/>
      <w:lang w:bidi="hi-IN"/>
    </w:rPr>
  </w:style>
  <w:style w:type="character" w:customStyle="1" w:styleId="IntenseQuoteChar">
    <w:name w:val="Intense Quote Char"/>
    <w:basedOn w:val="DefaultParagraphFont"/>
    <w:link w:val="IntenseQuote"/>
    <w:uiPriority w:val="30"/>
    <w:rsid w:val="00773BF9"/>
    <w:rPr>
      <w:rFonts w:eastAsiaTheme="minorEastAsia"/>
      <w:b/>
      <w:bCs/>
      <w:i/>
      <w:iCs/>
      <w:color w:val="C0504D" w:themeColor="accent2"/>
      <w:sz w:val="26"/>
      <w:lang w:bidi="hi-IN"/>
    </w:rPr>
  </w:style>
  <w:style w:type="character" w:styleId="SubtleEmphasis">
    <w:name w:val="Subtle Emphasis"/>
    <w:basedOn w:val="DefaultParagraphFont"/>
    <w:uiPriority w:val="19"/>
    <w:qFormat/>
    <w:rsid w:val="00773BF9"/>
    <w:rPr>
      <w:i/>
      <w:iCs/>
      <w:color w:val="000000"/>
    </w:rPr>
  </w:style>
  <w:style w:type="character" w:styleId="IntenseEmphasis">
    <w:name w:val="Intense Emphasis"/>
    <w:basedOn w:val="DefaultParagraphFont"/>
    <w:uiPriority w:val="21"/>
    <w:qFormat/>
    <w:rsid w:val="00773BF9"/>
    <w:rPr>
      <w:b/>
      <w:bCs/>
      <w:i/>
      <w:iCs/>
      <w:color w:val="1F497D" w:themeColor="text2"/>
    </w:rPr>
  </w:style>
  <w:style w:type="character" w:styleId="SubtleReference">
    <w:name w:val="Subtle Reference"/>
    <w:basedOn w:val="DefaultParagraphFont"/>
    <w:uiPriority w:val="31"/>
    <w:qFormat/>
    <w:rsid w:val="00773BF9"/>
    <w:rPr>
      <w:smallCaps/>
      <w:color w:val="000000"/>
      <w:u w:val="single"/>
    </w:rPr>
  </w:style>
  <w:style w:type="character" w:styleId="IntenseReference">
    <w:name w:val="Intense Reference"/>
    <w:basedOn w:val="DefaultParagraphFont"/>
    <w:uiPriority w:val="32"/>
    <w:qFormat/>
    <w:rsid w:val="00773BF9"/>
    <w:rPr>
      <w:rFonts w:asciiTheme="minorHAnsi" w:hAnsiTheme="minorHAnsi"/>
      <w:b/>
      <w:bCs/>
      <w:smallCaps/>
      <w:color w:val="1F497D" w:themeColor="text2"/>
      <w:spacing w:val="5"/>
      <w:sz w:val="22"/>
      <w:u w:val="single"/>
    </w:rPr>
  </w:style>
  <w:style w:type="character" w:styleId="BookTitle">
    <w:name w:val="Book Title"/>
    <w:basedOn w:val="DefaultParagraphFont"/>
    <w:uiPriority w:val="33"/>
    <w:qFormat/>
    <w:rsid w:val="00773BF9"/>
    <w:rPr>
      <w:rFonts w:asciiTheme="majorHAnsi" w:hAnsiTheme="majorHAnsi"/>
      <w:b/>
      <w:bCs/>
      <w:caps w:val="0"/>
      <w:smallCaps/>
      <w:color w:val="1F497D" w:themeColor="text2"/>
      <w:spacing w:val="10"/>
      <w:sz w:val="22"/>
    </w:rPr>
  </w:style>
  <w:style w:type="paragraph" w:styleId="TOCHeading">
    <w:name w:val="TOC Heading"/>
    <w:basedOn w:val="Heading1"/>
    <w:next w:val="Normal"/>
    <w:uiPriority w:val="39"/>
    <w:semiHidden/>
    <w:unhideWhenUsed/>
    <w:qFormat/>
    <w:rsid w:val="00773BF9"/>
    <w:pPr>
      <w:spacing w:before="480" w:line="264" w:lineRule="auto"/>
      <w:outlineLvl w:val="9"/>
    </w:pPr>
    <w:rPr>
      <w:b/>
    </w:rPr>
  </w:style>
  <w:style w:type="character" w:customStyle="1" w:styleId="NoSpacingChar">
    <w:name w:val="No Spacing Char"/>
    <w:basedOn w:val="DefaultParagraphFont"/>
    <w:link w:val="NoSpacing"/>
    <w:uiPriority w:val="1"/>
    <w:rsid w:val="00773BF9"/>
  </w:style>
  <w:style w:type="paragraph" w:customStyle="1" w:styleId="PersonalName">
    <w:name w:val="Personal Name"/>
    <w:basedOn w:val="Title"/>
    <w:qFormat/>
    <w:rsid w:val="00773BF9"/>
    <w:rPr>
      <w:b/>
      <w:caps/>
      <w:color w:val="000000"/>
      <w:sz w:val="28"/>
      <w:szCs w:val="28"/>
    </w:rPr>
  </w:style>
  <w:style w:type="table" w:styleId="TableGrid">
    <w:name w:val="Table Grid"/>
    <w:basedOn w:val="TableNormal"/>
    <w:uiPriority w:val="59"/>
    <w:rsid w:val="00773B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2">
    <w:name w:val="Light Shading Accent 2"/>
    <w:basedOn w:val="TableNormal"/>
    <w:uiPriority w:val="60"/>
    <w:rsid w:val="00773BF9"/>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11">
    <w:name w:val="Light Shading - Accent 11"/>
    <w:basedOn w:val="TableNormal"/>
    <w:uiPriority w:val="60"/>
    <w:rsid w:val="00773BF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MediumShading1-Accent11">
    <w:name w:val="Medium Shading 1 - Accent 11"/>
    <w:basedOn w:val="TableNormal"/>
    <w:uiPriority w:val="63"/>
    <w:rsid w:val="00773BF9"/>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Grid-Accent5">
    <w:name w:val="Light Grid Accent 5"/>
    <w:basedOn w:val="TableNormal"/>
    <w:uiPriority w:val="62"/>
    <w:rsid w:val="00773BF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Accent11">
    <w:name w:val="Light Grid - Accent 11"/>
    <w:basedOn w:val="TableNormal"/>
    <w:uiPriority w:val="62"/>
    <w:rsid w:val="00773BF9"/>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MediumShading11">
    <w:name w:val="Medium Shading 11"/>
    <w:basedOn w:val="TableNormal"/>
    <w:uiPriority w:val="63"/>
    <w:rsid w:val="00A3297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LightGrid1">
    <w:name w:val="Light Grid1"/>
    <w:basedOn w:val="TableNormal"/>
    <w:uiPriority w:val="62"/>
    <w:rsid w:val="00A3297A"/>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FootnoteText">
    <w:name w:val="footnote text"/>
    <w:basedOn w:val="Normal"/>
    <w:link w:val="FootnoteTextChar"/>
    <w:uiPriority w:val="99"/>
    <w:unhideWhenUsed/>
    <w:rsid w:val="00E012B9"/>
    <w:pPr>
      <w:spacing w:after="0" w:line="240" w:lineRule="auto"/>
    </w:pPr>
    <w:rPr>
      <w:sz w:val="24"/>
      <w:szCs w:val="24"/>
    </w:rPr>
  </w:style>
  <w:style w:type="character" w:customStyle="1" w:styleId="FootnoteTextChar">
    <w:name w:val="Footnote Text Char"/>
    <w:basedOn w:val="DefaultParagraphFont"/>
    <w:link w:val="FootnoteText"/>
    <w:uiPriority w:val="99"/>
    <w:rsid w:val="00E012B9"/>
    <w:rPr>
      <w:sz w:val="24"/>
      <w:szCs w:val="24"/>
    </w:rPr>
  </w:style>
  <w:style w:type="character" w:styleId="FootnoteReference">
    <w:name w:val="footnote reference"/>
    <w:basedOn w:val="DefaultParagraphFont"/>
    <w:uiPriority w:val="99"/>
    <w:unhideWhenUsed/>
    <w:rsid w:val="00E012B9"/>
    <w:rPr>
      <w:vertAlign w:val="superscript"/>
    </w:rPr>
  </w:style>
  <w:style w:type="table" w:customStyle="1" w:styleId="LightShading1">
    <w:name w:val="Light Shading1"/>
    <w:basedOn w:val="TableNormal"/>
    <w:uiPriority w:val="60"/>
    <w:rsid w:val="00223704"/>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D148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48E5"/>
    <w:rPr>
      <w:rFonts w:ascii="Tahoma" w:hAnsi="Tahoma" w:cs="Tahoma"/>
      <w:sz w:val="16"/>
      <w:szCs w:val="16"/>
    </w:rPr>
  </w:style>
  <w:style w:type="character" w:styleId="CommentReference">
    <w:name w:val="annotation reference"/>
    <w:basedOn w:val="DefaultParagraphFont"/>
    <w:uiPriority w:val="99"/>
    <w:semiHidden/>
    <w:unhideWhenUsed/>
    <w:rsid w:val="003820A2"/>
    <w:rPr>
      <w:sz w:val="16"/>
      <w:szCs w:val="16"/>
    </w:rPr>
  </w:style>
  <w:style w:type="paragraph" w:styleId="CommentText">
    <w:name w:val="annotation text"/>
    <w:basedOn w:val="Normal"/>
    <w:link w:val="CommentTextChar"/>
    <w:uiPriority w:val="99"/>
    <w:semiHidden/>
    <w:unhideWhenUsed/>
    <w:rsid w:val="003820A2"/>
    <w:pPr>
      <w:spacing w:line="240" w:lineRule="auto"/>
    </w:pPr>
    <w:rPr>
      <w:sz w:val="20"/>
      <w:szCs w:val="20"/>
    </w:rPr>
  </w:style>
  <w:style w:type="character" w:customStyle="1" w:styleId="CommentTextChar">
    <w:name w:val="Comment Text Char"/>
    <w:basedOn w:val="DefaultParagraphFont"/>
    <w:link w:val="CommentText"/>
    <w:uiPriority w:val="99"/>
    <w:semiHidden/>
    <w:rsid w:val="003820A2"/>
    <w:rPr>
      <w:sz w:val="20"/>
      <w:szCs w:val="20"/>
    </w:rPr>
  </w:style>
  <w:style w:type="paragraph" w:styleId="CommentSubject">
    <w:name w:val="annotation subject"/>
    <w:basedOn w:val="CommentText"/>
    <w:next w:val="CommentText"/>
    <w:link w:val="CommentSubjectChar"/>
    <w:uiPriority w:val="99"/>
    <w:semiHidden/>
    <w:unhideWhenUsed/>
    <w:rsid w:val="003820A2"/>
    <w:rPr>
      <w:b/>
      <w:bCs/>
    </w:rPr>
  </w:style>
  <w:style w:type="character" w:customStyle="1" w:styleId="CommentSubjectChar">
    <w:name w:val="Comment Subject Char"/>
    <w:basedOn w:val="CommentTextChar"/>
    <w:link w:val="CommentSubject"/>
    <w:uiPriority w:val="99"/>
    <w:semiHidden/>
    <w:rsid w:val="003820A2"/>
    <w:rPr>
      <w:b/>
      <w:bCs/>
      <w:sz w:val="20"/>
      <w:szCs w:val="20"/>
    </w:rPr>
  </w:style>
  <w:style w:type="paragraph" w:styleId="Header">
    <w:name w:val="header"/>
    <w:basedOn w:val="Normal"/>
    <w:link w:val="HeaderChar"/>
    <w:uiPriority w:val="99"/>
    <w:unhideWhenUsed/>
    <w:rsid w:val="004F24E2"/>
    <w:pPr>
      <w:tabs>
        <w:tab w:val="center" w:pos="4536"/>
        <w:tab w:val="right" w:pos="9072"/>
      </w:tabs>
      <w:spacing w:after="0" w:line="240" w:lineRule="auto"/>
    </w:pPr>
  </w:style>
  <w:style w:type="character" w:customStyle="1" w:styleId="HeaderChar">
    <w:name w:val="Header Char"/>
    <w:basedOn w:val="DefaultParagraphFont"/>
    <w:link w:val="Header"/>
    <w:uiPriority w:val="99"/>
    <w:rsid w:val="004F24E2"/>
  </w:style>
  <w:style w:type="paragraph" w:styleId="Footer">
    <w:name w:val="footer"/>
    <w:basedOn w:val="Normal"/>
    <w:link w:val="FooterChar"/>
    <w:uiPriority w:val="99"/>
    <w:unhideWhenUsed/>
    <w:rsid w:val="004F24E2"/>
    <w:pPr>
      <w:tabs>
        <w:tab w:val="center" w:pos="4536"/>
        <w:tab w:val="right" w:pos="9072"/>
      </w:tabs>
      <w:spacing w:after="0" w:line="240" w:lineRule="auto"/>
    </w:pPr>
  </w:style>
  <w:style w:type="character" w:customStyle="1" w:styleId="FooterChar">
    <w:name w:val="Footer Char"/>
    <w:basedOn w:val="DefaultParagraphFont"/>
    <w:link w:val="Footer"/>
    <w:uiPriority w:val="99"/>
    <w:rsid w:val="004F24E2"/>
  </w:style>
  <w:style w:type="character" w:customStyle="1" w:styleId="apple-converted-space">
    <w:name w:val="apple-converted-space"/>
    <w:basedOn w:val="DefaultParagraphFont"/>
    <w:rsid w:val="00382FC1"/>
  </w:style>
  <w:style w:type="character" w:customStyle="1" w:styleId="il">
    <w:name w:val="il"/>
    <w:basedOn w:val="DefaultParagraphFont"/>
    <w:rsid w:val="00F7293C"/>
  </w:style>
  <w:style w:type="table" w:styleId="LightGrid">
    <w:name w:val="Light Grid"/>
    <w:basedOn w:val="TableNormal"/>
    <w:uiPriority w:val="62"/>
    <w:rsid w:val="00F7293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Grid1-Accent1">
    <w:name w:val="Medium Grid 1 Accent 1"/>
    <w:basedOn w:val="TableNormal"/>
    <w:uiPriority w:val="67"/>
    <w:rsid w:val="00F7293C"/>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F7293C"/>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Shading1">
    <w:name w:val="Medium Shading 1"/>
    <w:basedOn w:val="TableNormal"/>
    <w:uiPriority w:val="63"/>
    <w:rsid w:val="00F7293C"/>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324589">
      <w:bodyDiv w:val="1"/>
      <w:marLeft w:val="0"/>
      <w:marRight w:val="0"/>
      <w:marTop w:val="0"/>
      <w:marBottom w:val="0"/>
      <w:divBdr>
        <w:top w:val="none" w:sz="0" w:space="0" w:color="auto"/>
        <w:left w:val="none" w:sz="0" w:space="0" w:color="auto"/>
        <w:bottom w:val="none" w:sz="0" w:space="0" w:color="auto"/>
        <w:right w:val="none" w:sz="0" w:space="0" w:color="auto"/>
      </w:divBdr>
    </w:div>
    <w:div w:id="387340375">
      <w:bodyDiv w:val="1"/>
      <w:marLeft w:val="0"/>
      <w:marRight w:val="0"/>
      <w:marTop w:val="0"/>
      <w:marBottom w:val="0"/>
      <w:divBdr>
        <w:top w:val="none" w:sz="0" w:space="0" w:color="auto"/>
        <w:left w:val="none" w:sz="0" w:space="0" w:color="auto"/>
        <w:bottom w:val="none" w:sz="0" w:space="0" w:color="auto"/>
        <w:right w:val="none" w:sz="0" w:space="0" w:color="auto"/>
      </w:divBdr>
    </w:div>
    <w:div w:id="427232892">
      <w:bodyDiv w:val="1"/>
      <w:marLeft w:val="0"/>
      <w:marRight w:val="0"/>
      <w:marTop w:val="0"/>
      <w:marBottom w:val="0"/>
      <w:divBdr>
        <w:top w:val="none" w:sz="0" w:space="0" w:color="auto"/>
        <w:left w:val="none" w:sz="0" w:space="0" w:color="auto"/>
        <w:bottom w:val="none" w:sz="0" w:space="0" w:color="auto"/>
        <w:right w:val="none" w:sz="0" w:space="0" w:color="auto"/>
      </w:divBdr>
    </w:div>
    <w:div w:id="848250531">
      <w:bodyDiv w:val="1"/>
      <w:marLeft w:val="0"/>
      <w:marRight w:val="0"/>
      <w:marTop w:val="0"/>
      <w:marBottom w:val="0"/>
      <w:divBdr>
        <w:top w:val="none" w:sz="0" w:space="0" w:color="auto"/>
        <w:left w:val="none" w:sz="0" w:space="0" w:color="auto"/>
        <w:bottom w:val="none" w:sz="0" w:space="0" w:color="auto"/>
        <w:right w:val="none" w:sz="0" w:space="0" w:color="auto"/>
      </w:divBdr>
    </w:div>
    <w:div w:id="1072922299">
      <w:bodyDiv w:val="1"/>
      <w:marLeft w:val="0"/>
      <w:marRight w:val="0"/>
      <w:marTop w:val="0"/>
      <w:marBottom w:val="0"/>
      <w:divBdr>
        <w:top w:val="none" w:sz="0" w:space="0" w:color="auto"/>
        <w:left w:val="none" w:sz="0" w:space="0" w:color="auto"/>
        <w:bottom w:val="none" w:sz="0" w:space="0" w:color="auto"/>
        <w:right w:val="none" w:sz="0" w:space="0" w:color="auto"/>
      </w:divBdr>
    </w:div>
    <w:div w:id="1169177218">
      <w:bodyDiv w:val="1"/>
      <w:marLeft w:val="0"/>
      <w:marRight w:val="0"/>
      <w:marTop w:val="0"/>
      <w:marBottom w:val="0"/>
      <w:divBdr>
        <w:top w:val="none" w:sz="0" w:space="0" w:color="auto"/>
        <w:left w:val="none" w:sz="0" w:space="0" w:color="auto"/>
        <w:bottom w:val="none" w:sz="0" w:space="0" w:color="auto"/>
        <w:right w:val="none" w:sz="0" w:space="0" w:color="auto"/>
      </w:divBdr>
    </w:div>
    <w:div w:id="1428770757">
      <w:bodyDiv w:val="1"/>
      <w:marLeft w:val="0"/>
      <w:marRight w:val="0"/>
      <w:marTop w:val="0"/>
      <w:marBottom w:val="0"/>
      <w:divBdr>
        <w:top w:val="none" w:sz="0" w:space="0" w:color="auto"/>
        <w:left w:val="none" w:sz="0" w:space="0" w:color="auto"/>
        <w:bottom w:val="none" w:sz="0" w:space="0" w:color="auto"/>
        <w:right w:val="none" w:sz="0" w:space="0" w:color="auto"/>
      </w:divBdr>
    </w:div>
    <w:div w:id="2016492469">
      <w:bodyDiv w:val="1"/>
      <w:marLeft w:val="0"/>
      <w:marRight w:val="0"/>
      <w:marTop w:val="0"/>
      <w:marBottom w:val="0"/>
      <w:divBdr>
        <w:top w:val="none" w:sz="0" w:space="0" w:color="auto"/>
        <w:left w:val="none" w:sz="0" w:space="0" w:color="auto"/>
        <w:bottom w:val="none" w:sz="0" w:space="0" w:color="auto"/>
        <w:right w:val="none" w:sz="0" w:space="0" w:color="auto"/>
      </w:divBdr>
    </w:div>
    <w:div w:id="20693047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ARAMBFP01\PUBLIC\Administration%20-%20Embassy\Trainees\2013_Efter&#229;r\Thomas%20Rasmusen%20T&#248;rsl&#248;v\THOMAS\RBA\Data\Popdata%20-%20NB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lineChart>
        <c:grouping val="standard"/>
        <c:varyColors val="0"/>
        <c:ser>
          <c:idx val="0"/>
          <c:order val="0"/>
          <c:tx>
            <c:strRef>
              <c:f>Sheet3!$I$2</c:f>
              <c:strCache>
                <c:ptCount val="1"/>
                <c:pt idx="0">
                  <c:v>Fraction of average total</c:v>
                </c:pt>
              </c:strCache>
            </c:strRef>
          </c:tx>
          <c:marker>
            <c:symbol val="none"/>
          </c:marker>
          <c:cat>
            <c:numRef>
              <c:f>Sheet3!$H$3:$H$137</c:f>
              <c:numCache>
                <c:formatCode>General</c:formatCode>
                <c:ptCount val="13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pt idx="100">
                  <c:v>101</c:v>
                </c:pt>
                <c:pt idx="101">
                  <c:v>102</c:v>
                </c:pt>
                <c:pt idx="102">
                  <c:v>103</c:v>
                </c:pt>
                <c:pt idx="103">
                  <c:v>104</c:v>
                </c:pt>
                <c:pt idx="104">
                  <c:v>105</c:v>
                </c:pt>
                <c:pt idx="105">
                  <c:v>106</c:v>
                </c:pt>
                <c:pt idx="106">
                  <c:v>107</c:v>
                </c:pt>
                <c:pt idx="107">
                  <c:v>108</c:v>
                </c:pt>
                <c:pt idx="108">
                  <c:v>109</c:v>
                </c:pt>
                <c:pt idx="109">
                  <c:v>110</c:v>
                </c:pt>
                <c:pt idx="110">
                  <c:v>111</c:v>
                </c:pt>
                <c:pt idx="111">
                  <c:v>112</c:v>
                </c:pt>
                <c:pt idx="112">
                  <c:v>113</c:v>
                </c:pt>
                <c:pt idx="113">
                  <c:v>114</c:v>
                </c:pt>
                <c:pt idx="114">
                  <c:v>115</c:v>
                </c:pt>
                <c:pt idx="115">
                  <c:v>116</c:v>
                </c:pt>
                <c:pt idx="116">
                  <c:v>117</c:v>
                </c:pt>
                <c:pt idx="117">
                  <c:v>118</c:v>
                </c:pt>
                <c:pt idx="118">
                  <c:v>119</c:v>
                </c:pt>
                <c:pt idx="119">
                  <c:v>120</c:v>
                </c:pt>
                <c:pt idx="120">
                  <c:v>121</c:v>
                </c:pt>
                <c:pt idx="121">
                  <c:v>122</c:v>
                </c:pt>
                <c:pt idx="122">
                  <c:v>123</c:v>
                </c:pt>
                <c:pt idx="123">
                  <c:v>124</c:v>
                </c:pt>
                <c:pt idx="124">
                  <c:v>125</c:v>
                </c:pt>
                <c:pt idx="125">
                  <c:v>126</c:v>
                </c:pt>
                <c:pt idx="126">
                  <c:v>127</c:v>
                </c:pt>
                <c:pt idx="127">
                  <c:v>128</c:v>
                </c:pt>
                <c:pt idx="128">
                  <c:v>129</c:v>
                </c:pt>
                <c:pt idx="129">
                  <c:v>130</c:v>
                </c:pt>
                <c:pt idx="130">
                  <c:v>131</c:v>
                </c:pt>
                <c:pt idx="131">
                  <c:v>132</c:v>
                </c:pt>
                <c:pt idx="132">
                  <c:v>133</c:v>
                </c:pt>
                <c:pt idx="133">
                  <c:v>134</c:v>
                </c:pt>
                <c:pt idx="134">
                  <c:v>135</c:v>
                </c:pt>
              </c:numCache>
            </c:numRef>
          </c:cat>
          <c:val>
            <c:numRef>
              <c:f>Sheet3!$I$3:$I$137</c:f>
              <c:numCache>
                <c:formatCode>_(* #,##0.00_);_(* \(#,##0.00\);_(* "-"??_);_(@_)</c:formatCode>
                <c:ptCount val="135"/>
                <c:pt idx="0">
                  <c:v>3.2023716885762332</c:v>
                </c:pt>
                <c:pt idx="1">
                  <c:v>3.0945849304537871</c:v>
                </c:pt>
                <c:pt idx="2">
                  <c:v>2.5022657128009413</c:v>
                </c:pt>
                <c:pt idx="3">
                  <c:v>2.3861639154229781</c:v>
                </c:pt>
                <c:pt idx="4">
                  <c:v>2.3684191965385502</c:v>
                </c:pt>
                <c:pt idx="5">
                  <c:v>2.3299006050370101</c:v>
                </c:pt>
                <c:pt idx="6">
                  <c:v>2.0354888381751728</c:v>
                </c:pt>
                <c:pt idx="7">
                  <c:v>2.0245040715993752</c:v>
                </c:pt>
                <c:pt idx="8">
                  <c:v>1.9737344441938429</c:v>
                </c:pt>
                <c:pt idx="9">
                  <c:v>1.8764521038976474</c:v>
                </c:pt>
                <c:pt idx="10">
                  <c:v>1.8437522896974377</c:v>
                </c:pt>
                <c:pt idx="11">
                  <c:v>1.7702215236283663</c:v>
                </c:pt>
                <c:pt idx="12">
                  <c:v>1.7350875173238496</c:v>
                </c:pt>
                <c:pt idx="13">
                  <c:v>1.4457404628934634</c:v>
                </c:pt>
                <c:pt idx="14">
                  <c:v>1.4033631649448439</c:v>
                </c:pt>
                <c:pt idx="15">
                  <c:v>1.3970389556521667</c:v>
                </c:pt>
                <c:pt idx="16">
                  <c:v>1.3875112058582775</c:v>
                </c:pt>
                <c:pt idx="17">
                  <c:v>1.3550602294500529</c:v>
                </c:pt>
                <c:pt idx="18">
                  <c:v>1.3533505528716836</c:v>
                </c:pt>
                <c:pt idx="19">
                  <c:v>1.3343560165216748</c:v>
                </c:pt>
                <c:pt idx="20">
                  <c:v>1.3096988203649353</c:v>
                </c:pt>
                <c:pt idx="21">
                  <c:v>1.3003865740692375</c:v>
                </c:pt>
                <c:pt idx="22">
                  <c:v>1.2992164268917397</c:v>
                </c:pt>
                <c:pt idx="23">
                  <c:v>1.2969947904102865</c:v>
                </c:pt>
                <c:pt idx="24">
                  <c:v>1.2734801613767186</c:v>
                </c:pt>
                <c:pt idx="25">
                  <c:v>1.2703378290973353</c:v>
                </c:pt>
                <c:pt idx="26">
                  <c:v>1.2640975480210384</c:v>
                </c:pt>
                <c:pt idx="27">
                  <c:v>1.2585142224723957</c:v>
                </c:pt>
                <c:pt idx="28">
                  <c:v>1.2467221319469435</c:v>
                </c:pt>
                <c:pt idx="29">
                  <c:v>1.2186200899018309</c:v>
                </c:pt>
                <c:pt idx="30">
                  <c:v>1.1686427813190319</c:v>
                </c:pt>
                <c:pt idx="31">
                  <c:v>1.1664551723380256</c:v>
                </c:pt>
                <c:pt idx="32">
                  <c:v>1.1439577001798333</c:v>
                </c:pt>
                <c:pt idx="33">
                  <c:v>1.133885945552199</c:v>
                </c:pt>
                <c:pt idx="34">
                  <c:v>1.1319971485395766</c:v>
                </c:pt>
                <c:pt idx="35">
                  <c:v>1.1261319753627734</c:v>
                </c:pt>
                <c:pt idx="36">
                  <c:v>1.1235712166768386</c:v>
                </c:pt>
                <c:pt idx="37">
                  <c:v>1.1225862342946276</c:v>
                </c:pt>
                <c:pt idx="38">
                  <c:v>1.1149429129534545</c:v>
                </c:pt>
                <c:pt idx="39">
                  <c:v>1.0969624603351513</c:v>
                </c:pt>
                <c:pt idx="40">
                  <c:v>1.0899998180220702</c:v>
                </c:pt>
                <c:pt idx="41">
                  <c:v>1.0658421379328189</c:v>
                </c:pt>
                <c:pt idx="42">
                  <c:v>1.0618395641112832</c:v>
                </c:pt>
                <c:pt idx="43">
                  <c:v>1.0617664724729456</c:v>
                </c:pt>
                <c:pt idx="44">
                  <c:v>1.0614439388574801</c:v>
                </c:pt>
                <c:pt idx="45">
                  <c:v>1.0283359996636459</c:v>
                </c:pt>
                <c:pt idx="46">
                  <c:v>1.0240163355924483</c:v>
                </c:pt>
                <c:pt idx="47">
                  <c:v>1.0209408328489096</c:v>
                </c:pt>
                <c:pt idx="48">
                  <c:v>1.0110376434475092</c:v>
                </c:pt>
                <c:pt idx="49">
                  <c:v>1.0060234020794752</c:v>
                </c:pt>
                <c:pt idx="50">
                  <c:v>1.0047899911137697</c:v>
                </c:pt>
                <c:pt idx="51">
                  <c:v>0.99106376741084878</c:v>
                </c:pt>
                <c:pt idx="52">
                  <c:v>0.99016295696971091</c:v>
                </c:pt>
                <c:pt idx="53">
                  <c:v>0.9873639776026919</c:v>
                </c:pt>
                <c:pt idx="54">
                  <c:v>0.98185062568989112</c:v>
                </c:pt>
                <c:pt idx="55">
                  <c:v>0.97680832136735551</c:v>
                </c:pt>
                <c:pt idx="56">
                  <c:v>0.97408618191469643</c:v>
                </c:pt>
                <c:pt idx="57">
                  <c:v>0.96140933153497976</c:v>
                </c:pt>
                <c:pt idx="58">
                  <c:v>0.95496389621261535</c:v>
                </c:pt>
                <c:pt idx="59">
                  <c:v>0.94208448584962234</c:v>
                </c:pt>
                <c:pt idx="60">
                  <c:v>0.93873424546015471</c:v>
                </c:pt>
                <c:pt idx="61">
                  <c:v>0.91629351115639179</c:v>
                </c:pt>
                <c:pt idx="62">
                  <c:v>0.91588034449513256</c:v>
                </c:pt>
                <c:pt idx="63">
                  <c:v>0.91500792057497748</c:v>
                </c:pt>
                <c:pt idx="64">
                  <c:v>0.91405387336373123</c:v>
                </c:pt>
                <c:pt idx="65">
                  <c:v>0.91370357488012011</c:v>
                </c:pt>
                <c:pt idx="66">
                  <c:v>0.91290959018497786</c:v>
                </c:pt>
                <c:pt idx="67">
                  <c:v>0.91225104221419751</c:v>
                </c:pt>
                <c:pt idx="68">
                  <c:v>0.9105420635787792</c:v>
                </c:pt>
                <c:pt idx="69">
                  <c:v>0.90939764105065435</c:v>
                </c:pt>
                <c:pt idx="70">
                  <c:v>0.90899039145398131</c:v>
                </c:pt>
                <c:pt idx="71">
                  <c:v>0.89983288737684519</c:v>
                </c:pt>
                <c:pt idx="72">
                  <c:v>0.89358174841538707</c:v>
                </c:pt>
                <c:pt idx="73">
                  <c:v>0.88739501344975558</c:v>
                </c:pt>
                <c:pt idx="74">
                  <c:v>0.87515753565013232</c:v>
                </c:pt>
                <c:pt idx="75">
                  <c:v>0.86860496187911074</c:v>
                </c:pt>
                <c:pt idx="76">
                  <c:v>0.86177464247226421</c:v>
                </c:pt>
                <c:pt idx="77">
                  <c:v>0.84871138012772818</c:v>
                </c:pt>
                <c:pt idx="78">
                  <c:v>0.848525240215109</c:v>
                </c:pt>
                <c:pt idx="79">
                  <c:v>0.83837715322518835</c:v>
                </c:pt>
                <c:pt idx="80">
                  <c:v>0.82437172681887649</c:v>
                </c:pt>
                <c:pt idx="81">
                  <c:v>0.82195811641380478</c:v>
                </c:pt>
                <c:pt idx="82">
                  <c:v>0.81577307818726386</c:v>
                </c:pt>
                <c:pt idx="83">
                  <c:v>0.81237212779064605</c:v>
                </c:pt>
                <c:pt idx="84">
                  <c:v>0.80766081460650707</c:v>
                </c:pt>
                <c:pt idx="85">
                  <c:v>0.80428181236340568</c:v>
                </c:pt>
                <c:pt idx="86">
                  <c:v>0.79882201201504799</c:v>
                </c:pt>
                <c:pt idx="87">
                  <c:v>0.79237750298849352</c:v>
                </c:pt>
                <c:pt idx="88">
                  <c:v>0.78815765242073921</c:v>
                </c:pt>
                <c:pt idx="89">
                  <c:v>0.78596440564561332</c:v>
                </c:pt>
                <c:pt idx="90">
                  <c:v>0.77248692952555587</c:v>
                </c:pt>
                <c:pt idx="91">
                  <c:v>0.770082006377933</c:v>
                </c:pt>
                <c:pt idx="92">
                  <c:v>0.76499250140323161</c:v>
                </c:pt>
                <c:pt idx="93">
                  <c:v>0.75908735541469963</c:v>
                </c:pt>
                <c:pt idx="94">
                  <c:v>0.75609518753557847</c:v>
                </c:pt>
                <c:pt idx="95">
                  <c:v>0.7494861971762331</c:v>
                </c:pt>
                <c:pt idx="96">
                  <c:v>0.74372367332880374</c:v>
                </c:pt>
                <c:pt idx="97">
                  <c:v>0.71978926516396169</c:v>
                </c:pt>
                <c:pt idx="98">
                  <c:v>0.71602920255333302</c:v>
                </c:pt>
                <c:pt idx="99">
                  <c:v>0.71304981756616004</c:v>
                </c:pt>
                <c:pt idx="100">
                  <c:v>0.70521784491796113</c:v>
                </c:pt>
                <c:pt idx="101">
                  <c:v>0.70494600462599799</c:v>
                </c:pt>
                <c:pt idx="102">
                  <c:v>0.6959977750137597</c:v>
                </c:pt>
                <c:pt idx="103">
                  <c:v>0.69359043153276156</c:v>
                </c:pt>
                <c:pt idx="104">
                  <c:v>0.68487163748351809</c:v>
                </c:pt>
                <c:pt idx="105">
                  <c:v>0.67396045329507337</c:v>
                </c:pt>
                <c:pt idx="106">
                  <c:v>0.67267614889753224</c:v>
                </c:pt>
                <c:pt idx="107">
                  <c:v>0.65027262529663743</c:v>
                </c:pt>
                <c:pt idx="108">
                  <c:v>0.63800630599683295</c:v>
                </c:pt>
                <c:pt idx="109">
                  <c:v>0.63670438737623192</c:v>
                </c:pt>
                <c:pt idx="110">
                  <c:v>0.63249106762874019</c:v>
                </c:pt>
                <c:pt idx="111">
                  <c:v>0.63085100613125877</c:v>
                </c:pt>
                <c:pt idx="112">
                  <c:v>0.62163982765245385</c:v>
                </c:pt>
                <c:pt idx="113">
                  <c:v>0.60903672467374004</c:v>
                </c:pt>
                <c:pt idx="114">
                  <c:v>0.60017949604745846</c:v>
                </c:pt>
                <c:pt idx="115">
                  <c:v>0.59971695373668021</c:v>
                </c:pt>
                <c:pt idx="116">
                  <c:v>0.58819126418924295</c:v>
                </c:pt>
                <c:pt idx="117">
                  <c:v>0.57881118557281974</c:v>
                </c:pt>
                <c:pt idx="118">
                  <c:v>0.57646728728517038</c:v>
                </c:pt>
                <c:pt idx="119">
                  <c:v>0.5573612487586459</c:v>
                </c:pt>
                <c:pt idx="120">
                  <c:v>0.5497528062317617</c:v>
                </c:pt>
                <c:pt idx="121">
                  <c:v>0.54219340710388431</c:v>
                </c:pt>
                <c:pt idx="122">
                  <c:v>0.53218059878998836</c:v>
                </c:pt>
                <c:pt idx="123">
                  <c:v>0.50660830564386261</c:v>
                </c:pt>
                <c:pt idx="124">
                  <c:v>0.46658023910167279</c:v>
                </c:pt>
                <c:pt idx="125">
                  <c:v>0.44764336267232657</c:v>
                </c:pt>
                <c:pt idx="126">
                  <c:v>0.44496804592565081</c:v>
                </c:pt>
                <c:pt idx="127">
                  <c:v>0.41782263463591984</c:v>
                </c:pt>
                <c:pt idx="128">
                  <c:v>0.40465677523623206</c:v>
                </c:pt>
                <c:pt idx="129">
                  <c:v>0.4025479912040445</c:v>
                </c:pt>
                <c:pt idx="130">
                  <c:v>0.36749907941162624</c:v>
                </c:pt>
                <c:pt idx="131">
                  <c:v>0.27170112442882643</c:v>
                </c:pt>
                <c:pt idx="132">
                  <c:v>0.16589727585461386</c:v>
                </c:pt>
                <c:pt idx="133">
                  <c:v>0.12234686956316621</c:v>
                </c:pt>
                <c:pt idx="134">
                  <c:v>0.11792641322732708</c:v>
                </c:pt>
              </c:numCache>
            </c:numRef>
          </c:val>
          <c:smooth val="0"/>
        </c:ser>
        <c:dLbls>
          <c:showLegendKey val="0"/>
          <c:showVal val="0"/>
          <c:showCatName val="0"/>
          <c:showSerName val="0"/>
          <c:showPercent val="0"/>
          <c:showBubbleSize val="0"/>
        </c:dLbls>
        <c:marker val="1"/>
        <c:smooth val="0"/>
        <c:axId val="154275840"/>
        <c:axId val="154277376"/>
      </c:lineChart>
      <c:catAx>
        <c:axId val="154275840"/>
        <c:scaling>
          <c:orientation val="minMax"/>
        </c:scaling>
        <c:delete val="0"/>
        <c:axPos val="b"/>
        <c:numFmt formatCode="General" sourceLinked="1"/>
        <c:majorTickMark val="out"/>
        <c:minorTickMark val="none"/>
        <c:tickLblPos val="nextTo"/>
        <c:crossAx val="154277376"/>
        <c:crosses val="autoZero"/>
        <c:auto val="1"/>
        <c:lblAlgn val="ctr"/>
        <c:lblOffset val="100"/>
        <c:noMultiLvlLbl val="0"/>
      </c:catAx>
      <c:valAx>
        <c:axId val="154277376"/>
        <c:scaling>
          <c:orientation val="minMax"/>
        </c:scaling>
        <c:delete val="0"/>
        <c:axPos val="l"/>
        <c:majorGridlines/>
        <c:numFmt formatCode="_(* #,##0.00_);_(* \(#,##0.00\);_(* &quot;-&quot;??_);_(@_)" sourceLinked="1"/>
        <c:majorTickMark val="out"/>
        <c:minorTickMark val="none"/>
        <c:tickLblPos val="nextTo"/>
        <c:crossAx val="154275840"/>
        <c:crosses val="autoZero"/>
        <c:crossBetween val="between"/>
      </c:valAx>
    </c:plotArea>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0.08021</cdr:x>
      <cdr:y>0.62096</cdr:y>
    </cdr:from>
    <cdr:to>
      <cdr:x>0.98647</cdr:x>
      <cdr:y>0.62096</cdr:y>
    </cdr:to>
    <cdr:cxnSp macro="">
      <cdr:nvCxnSpPr>
        <cdr:cNvPr id="3" name="Straight Connector 2"/>
        <cdr:cNvCxnSpPr/>
      </cdr:nvCxnSpPr>
      <cdr:spPr>
        <a:xfrm xmlns:a="http://schemas.openxmlformats.org/drawingml/2006/main">
          <a:off x="476751" y="1330788"/>
          <a:ext cx="5386447" cy="0"/>
        </a:xfrm>
        <a:prstGeom xmlns:a="http://schemas.openxmlformats.org/drawingml/2006/main" prst="line">
          <a:avLst/>
        </a:prstGeom>
        <a:ln xmlns:a="http://schemas.openxmlformats.org/drawingml/2006/main" w="1905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7B1E7-931B-402B-9712-B84254870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2367</Words>
  <Characters>13492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Susna De</dc:creator>
  <cp:lastModifiedBy>De, Susna(Tanzania/Health)</cp:lastModifiedBy>
  <cp:revision>2</cp:revision>
  <dcterms:created xsi:type="dcterms:W3CDTF">2013-11-05T09:37:00Z</dcterms:created>
  <dcterms:modified xsi:type="dcterms:W3CDTF">2013-11-05T09:37:00Z</dcterms:modified>
</cp:coreProperties>
</file>